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3745D3C9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D91AD5">
              <w:rPr>
                <w:b/>
              </w:rPr>
              <w:t xml:space="preserve"> </w:t>
            </w:r>
            <w:r w:rsidR="00A94260">
              <w:rPr>
                <w:b/>
              </w:rPr>
              <w:t>21</w:t>
            </w:r>
            <w:r w:rsidR="003D134B">
              <w:rPr>
                <w:b/>
              </w:rPr>
              <w:t xml:space="preserve"> июня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163C1DBB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3D134B">
              <w:rPr>
                <w:b/>
              </w:rPr>
              <w:t>3</w:t>
            </w:r>
            <w:r w:rsidR="00A94260">
              <w:rPr>
                <w:b/>
              </w:rPr>
              <w:t>3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2C62E8DF" w14:textId="02FAB5CE" w:rsidR="00A94260" w:rsidRPr="00A94260" w:rsidRDefault="00A94260" w:rsidP="00A94260">
      <w:pPr>
        <w:spacing w:after="160" w:line="240" w:lineRule="auto"/>
        <w:ind w:left="284" w:right="189"/>
        <w:jc w:val="center"/>
        <w:rPr>
          <w:rFonts w:eastAsia="Calibri"/>
          <w:b/>
          <w:i/>
          <w:sz w:val="16"/>
          <w:szCs w:val="16"/>
        </w:rPr>
      </w:pPr>
      <w:r w:rsidRPr="00A94260">
        <w:rPr>
          <w:rFonts w:eastAsia="Calibri"/>
          <w:b/>
          <w:i/>
          <w:sz w:val="16"/>
          <w:szCs w:val="16"/>
        </w:rPr>
        <w:t>Начальник управления по надзору за федеральным законодательством прокуратуры Ленинградской</w:t>
      </w:r>
      <w:r>
        <w:rPr>
          <w:rFonts w:eastAsia="Calibri"/>
          <w:b/>
          <w:i/>
          <w:sz w:val="16"/>
          <w:szCs w:val="16"/>
        </w:rPr>
        <w:t xml:space="preserve"> </w:t>
      </w:r>
      <w:r w:rsidRPr="00A94260">
        <w:rPr>
          <w:rFonts w:eastAsia="Calibri"/>
          <w:b/>
          <w:i/>
          <w:sz w:val="16"/>
          <w:szCs w:val="16"/>
        </w:rPr>
        <w:t>области М.А. Егоров разъясняет:</w:t>
      </w:r>
    </w:p>
    <w:p w14:paraId="4C4A03CE" w14:textId="5B1B6F79" w:rsidR="00A94260" w:rsidRPr="00A94260" w:rsidRDefault="00A94260" w:rsidP="00A94260">
      <w:pPr>
        <w:spacing w:after="160" w:line="240" w:lineRule="auto"/>
        <w:ind w:left="284" w:right="189"/>
        <w:jc w:val="center"/>
        <w:rPr>
          <w:rFonts w:eastAsia="Calibri"/>
          <w:b/>
          <w:sz w:val="16"/>
          <w:szCs w:val="16"/>
        </w:rPr>
      </w:pPr>
      <w:r w:rsidRPr="00A94260">
        <w:rPr>
          <w:rFonts w:eastAsia="Calibri"/>
          <w:b/>
          <w:sz w:val="16"/>
          <w:szCs w:val="16"/>
        </w:rPr>
        <w:t>Перевод студенческих билетов и зачетных книжек в электронный вид</w:t>
      </w:r>
      <w:r>
        <w:rPr>
          <w:rFonts w:eastAsia="Calibri"/>
          <w:b/>
          <w:sz w:val="16"/>
          <w:szCs w:val="16"/>
        </w:rPr>
        <w:t>.</w:t>
      </w:r>
    </w:p>
    <w:p w14:paraId="4E80C256" w14:textId="77777777" w:rsidR="00A94260" w:rsidRPr="00A94260" w:rsidRDefault="00A94260" w:rsidP="00A94260">
      <w:pPr>
        <w:spacing w:after="16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Постановлением Правительства РФ от 20.04.2024 № 509 утверждено Положение «О проведении эксперимента по формированию в электронном виде сведений о студенческих билетах и сведений о зачетных книжках граждан, обучающихся в образовательных организациях высшего образования и научных организациях по программам среднего профессионального образования, бакалавриата, специалитета, магистратуры, а также сведений об иных документах, подтверждающих обучение граждан в образовательных организациях высшего образования и научных организациях по программам ординатуры, ассистентуры-стажировки, программам подготовки научных и научно-педагогических кадров в аспирантуре (при их наличии)». Участие в эксперименте является добровольным. Он распространяется на студентов колледжей и вузов, ординаторов и аспирантов. В случае принятия решения об участии в эксперименте участники эксперимента направляют на бумажном носителе или в форме электронного документа уведомление о желании принять участие в 8 эксперименте не позднее 2 месяцев до дня окончания эксперимента. В личном кабинете обучающегося на Едином портале госуслуг будут размещены сведения о студенческих билетах, зачетных книжках и об иных документах, подтверждающих обучение. В мобильном приложении Единого портала госуслуг будет сформирован QR-код, содержащий сведения о студенческом билете. Предъявление обучающимися двухмерного штрихового кода (QR-кода) осуществляется обучающимися добровольно, взамен бумажного студенческого билета. Студенческий билет в электронном формате можно будет </w:t>
      </w:r>
      <w:r w:rsidRPr="00A94260">
        <w:rPr>
          <w:rFonts w:eastAsia="Calibri"/>
          <w:sz w:val="16"/>
          <w:szCs w:val="16"/>
        </w:rPr>
        <w:t xml:space="preserve">использовать для прохода на территорию учебного заведения, оформления льготных билетов на железнодорожный и иной общественный транспорт, оформления билетов на посещение организаций культуры. Проведение эксперимента осуществляется Министерством науки и высшего образования Российской Федерации, Федеральной службой по надзору в сфере образования и науки, Министерством цифрового развития, связи и массовых коммуникаций Российской Федерации, Министерством транспорта Российской Федерации, Министерством культуры Российской Федерации с 25 апреля 2024 года по 31 декабря 2025 года. </w:t>
      </w:r>
    </w:p>
    <w:p w14:paraId="3CAC488A" w14:textId="77777777" w:rsidR="00A94260" w:rsidRPr="00A94260" w:rsidRDefault="00A94260" w:rsidP="00A94260">
      <w:pPr>
        <w:spacing w:after="16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</w:p>
    <w:p w14:paraId="3867B42B" w14:textId="77777777" w:rsidR="00A94260" w:rsidRPr="00A94260" w:rsidRDefault="00A94260" w:rsidP="00A94260">
      <w:pPr>
        <w:spacing w:after="160" w:line="240" w:lineRule="auto"/>
        <w:ind w:left="284" w:right="189"/>
        <w:jc w:val="center"/>
        <w:rPr>
          <w:rFonts w:eastAsia="Calibri"/>
          <w:b/>
          <w:sz w:val="16"/>
          <w:szCs w:val="16"/>
        </w:rPr>
      </w:pPr>
      <w:r w:rsidRPr="00A94260">
        <w:rPr>
          <w:rFonts w:eastAsia="Calibri"/>
          <w:b/>
          <w:sz w:val="16"/>
          <w:szCs w:val="16"/>
        </w:rPr>
        <w:t>С 1 сентября 2024 года вступают в силу правила использования лесов для осуществления изыскательской деятельности.</w:t>
      </w:r>
    </w:p>
    <w:p w14:paraId="7D77ADE2" w14:textId="77777777" w:rsidR="00A94260" w:rsidRPr="00A94260" w:rsidRDefault="00A94260" w:rsidP="00A94260">
      <w:pPr>
        <w:spacing w:after="16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 В соответствии с приказом Минприроды России от 25.04.2024 № 241 «Об утверждении Правил использования лесов для осуществления изыскательской деятельности» для использования лесов в целях осуществления изыскательской деятельности индивидуальные предприниматели, юридические лица подают в уполномоченный орган заявление, в котором указываются сведения о заявителе, местоположение и площадь земель, необходимых для осуществления изыскательской деятельности. Заявление рассматривается в течение пятнадцати рабочих дней со дня его поступления в уполномоченный орган. По итогам рассмотрения принимается решение о выдаче разрешения или об отказе в выдаче разрешения. Устанавливаются в числе прочего обязанности заявителей, использующих леса для осуществления изыскательской деятельности с предоставлением или без предоставления лесного участка, с установлением или без </w:t>
      </w:r>
      <w:r w:rsidRPr="00A94260">
        <w:rPr>
          <w:rFonts w:eastAsia="Calibri"/>
          <w:sz w:val="16"/>
          <w:szCs w:val="16"/>
        </w:rPr>
        <w:t xml:space="preserve">установления сервитута, публичного сервитута. Настоящий приказ действует до 1 сентября 2030 года. </w:t>
      </w:r>
    </w:p>
    <w:p w14:paraId="7356B641" w14:textId="77777777" w:rsidR="00A94260" w:rsidRPr="00A94260" w:rsidRDefault="00A94260" w:rsidP="00A94260">
      <w:pPr>
        <w:spacing w:after="160" w:line="240" w:lineRule="auto"/>
        <w:ind w:left="284" w:right="189"/>
        <w:jc w:val="both"/>
        <w:rPr>
          <w:rFonts w:eastAsia="Calibri"/>
          <w:sz w:val="16"/>
          <w:szCs w:val="16"/>
        </w:rPr>
      </w:pPr>
    </w:p>
    <w:p w14:paraId="609ABEE4" w14:textId="77777777" w:rsidR="00A94260" w:rsidRPr="00A94260" w:rsidRDefault="00A94260" w:rsidP="00A94260">
      <w:pPr>
        <w:spacing w:after="160" w:line="240" w:lineRule="auto"/>
        <w:ind w:left="284" w:right="189"/>
        <w:jc w:val="center"/>
        <w:rPr>
          <w:rFonts w:eastAsia="Calibri"/>
          <w:b/>
          <w:sz w:val="16"/>
          <w:szCs w:val="16"/>
        </w:rPr>
      </w:pPr>
      <w:r w:rsidRPr="00A94260">
        <w:rPr>
          <w:rFonts w:eastAsia="Calibri"/>
          <w:b/>
          <w:sz w:val="16"/>
          <w:szCs w:val="16"/>
        </w:rPr>
        <w:t>Увольнение работника, отказавшегося от продолжения работы в другой местности, при отсутствии у работодателя возможности предоставить ему другую работу в той же местности, должно осуществляться по правилам, предусмотренным для случаев ликвидации организации.</w:t>
      </w:r>
    </w:p>
    <w:p w14:paraId="537AA70C" w14:textId="7FD57346" w:rsidR="00A94260" w:rsidRDefault="00A94260" w:rsidP="00A94260">
      <w:pPr>
        <w:spacing w:after="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Постановлением Конституционного Суда РФ от 27.04.2024 № 22-П «По делу о проверке конституционности частей первой - четвертой статьи 74 и пункта 7 части первой статьи 77 Трудового кодекса Российской Федерации в связи с жалобой гражданина М.Х. Абдуллоева» признаны не противоречащими Конституции РФ взаимосвязанные части первая - четвертая статьи 74 и пункт 7 части первой статьи 77 ТК РФ, поскольку по своему конституционно-правовому смыслу они не предполагают изменения работодателем в одностороннем порядке определенного сторонами условия трудового договора о рабочем месте работника, расположенном в другой, отличной от места нахождения работодателя, местности, если это сопряжено с изменением данной местности, а также увольнения такого работника в случае его отказа от продолжения работы в иной местности, чем та, где он работал ранее, по основанию, предусмотренному пунктом 7 части первой статьи 77 ТК РФ. При отказе работника от продолжения работы на ином рабочем месте, расположенном в другой местности, его увольнение - при отсутствии у работодателя возможности предоставить ему другую работу в той же местности (как вакантную должность или работу, соответствующую квалификации работника, так и вакантную 10 нижестоящую должность или нижеоплачиваемую работу), которую работник может выполнять с учетом его состояния </w:t>
      </w:r>
      <w:r w:rsidRPr="00A94260">
        <w:rPr>
          <w:rFonts w:eastAsia="Calibri"/>
          <w:sz w:val="16"/>
          <w:szCs w:val="16"/>
        </w:rPr>
        <w:lastRenderedPageBreak/>
        <w:t xml:space="preserve">здоровья, - должно осуществляться по правилам, предусмотренным для случаев ликвидации организации, т.е. по основанию, предусмотренному пунктом 1 части первой статьи 81 ТК РФ, с предоставлением работнику соответствующих гарантий. О компенсации за задержку </w:t>
      </w:r>
      <w:proofErr w:type="spellStart"/>
      <w:r w:rsidRPr="00A94260">
        <w:rPr>
          <w:rFonts w:eastAsia="Calibri"/>
          <w:sz w:val="16"/>
          <w:szCs w:val="16"/>
        </w:rPr>
        <w:t>неначисленных</w:t>
      </w:r>
      <w:proofErr w:type="spellEnd"/>
      <w:r w:rsidRPr="00A94260">
        <w:rPr>
          <w:rFonts w:eastAsia="Calibri"/>
          <w:sz w:val="16"/>
          <w:szCs w:val="16"/>
        </w:rPr>
        <w:t xml:space="preserve"> </w:t>
      </w:r>
      <w:r w:rsidRPr="00A94260">
        <w:rPr>
          <w:rFonts w:eastAsia="Calibri"/>
          <w:sz w:val="16"/>
          <w:szCs w:val="16"/>
        </w:rPr>
        <w:t>выплат.</w:t>
      </w:r>
      <w:r w:rsidRPr="00A94260">
        <w:rPr>
          <w:rFonts w:eastAsia="Calibri"/>
          <w:sz w:val="16"/>
          <w:szCs w:val="16"/>
        </w:rPr>
        <w:t xml:space="preserve"> В соответствии с Федеральным законом от 30.01.2024 №3-Ф3 с 30 января 2024 года вступили в силу изменения в статью 236 Трудового кодекса РФ о компенсации за задержку </w:t>
      </w:r>
      <w:proofErr w:type="spellStart"/>
      <w:r w:rsidRPr="00A94260">
        <w:rPr>
          <w:rFonts w:eastAsia="Calibri"/>
          <w:sz w:val="16"/>
          <w:szCs w:val="16"/>
        </w:rPr>
        <w:t>неначисленных</w:t>
      </w:r>
      <w:proofErr w:type="spellEnd"/>
      <w:r w:rsidRPr="00A94260">
        <w:rPr>
          <w:rFonts w:eastAsia="Calibri"/>
          <w:sz w:val="16"/>
          <w:szCs w:val="16"/>
        </w:rPr>
        <w:t xml:space="preserve"> выплат. При нарушении работодателем установленного срока выплат при заработной платы, оплаты отпуска, выплат при увольнении и других выплат, он обязан выплатить работнику денежную компенсацию в размере не ниже 1/150 действующей в это время ключевой ставки Банка России от начисленных, но не выплаченных в срок сумм и (или) </w:t>
      </w:r>
      <w:proofErr w:type="spellStart"/>
      <w:r w:rsidRPr="00A94260">
        <w:rPr>
          <w:rFonts w:eastAsia="Calibri"/>
          <w:sz w:val="16"/>
          <w:szCs w:val="16"/>
        </w:rPr>
        <w:t>неначисленных</w:t>
      </w:r>
      <w:proofErr w:type="spellEnd"/>
      <w:r w:rsidRPr="00A94260">
        <w:rPr>
          <w:rFonts w:eastAsia="Calibri"/>
          <w:sz w:val="16"/>
          <w:szCs w:val="16"/>
        </w:rPr>
        <w:t xml:space="preserve"> своевременно сумм, если вступившим в законную силу решением суда было признано право работника на получение </w:t>
      </w:r>
      <w:proofErr w:type="spellStart"/>
      <w:r w:rsidRPr="00A94260">
        <w:rPr>
          <w:rFonts w:eastAsia="Calibri"/>
          <w:sz w:val="16"/>
          <w:szCs w:val="16"/>
        </w:rPr>
        <w:t>неначисленных</w:t>
      </w:r>
      <w:proofErr w:type="spellEnd"/>
      <w:r w:rsidRPr="00A94260">
        <w:rPr>
          <w:rFonts w:eastAsia="Calibri"/>
          <w:sz w:val="16"/>
          <w:szCs w:val="16"/>
        </w:rPr>
        <w:t xml:space="preserve"> сумм, за каждый день задержки. При неполной выплате в установленный срок заработной платы и других выплат, причитающихся работнику, размер процентов (денежной компенсации) исчисляется из фактически не выплаченных в срок сумм. Выплата денежной компенсации обязательна независимо от наличия вины работодателя. В случае спора о размерах сумм, причитающихся работнику при увольнении, работодатель обязан выплатить не оспариваемую им сумму. </w:t>
      </w:r>
    </w:p>
    <w:p w14:paraId="3188C34A" w14:textId="77777777" w:rsidR="00A94260" w:rsidRDefault="00A94260" w:rsidP="00A94260">
      <w:pPr>
        <w:spacing w:after="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</w:p>
    <w:p w14:paraId="56941B41" w14:textId="77777777" w:rsidR="00A94260" w:rsidRDefault="00A94260" w:rsidP="00A94260">
      <w:pPr>
        <w:spacing w:after="0" w:line="240" w:lineRule="auto"/>
        <w:ind w:left="284" w:right="189" w:firstLine="283"/>
        <w:jc w:val="both"/>
        <w:rPr>
          <w:rFonts w:eastAsia="Calibri"/>
          <w:sz w:val="16"/>
          <w:szCs w:val="16"/>
        </w:rPr>
      </w:pPr>
    </w:p>
    <w:p w14:paraId="44261F9D" w14:textId="12D4ECAD" w:rsidR="00A94260" w:rsidRPr="00A94260" w:rsidRDefault="00A94260" w:rsidP="00A94260">
      <w:pPr>
        <w:spacing w:after="0" w:line="240" w:lineRule="auto"/>
        <w:ind w:left="284" w:right="189"/>
        <w:jc w:val="center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***</w:t>
      </w:r>
    </w:p>
    <w:p w14:paraId="101C4886" w14:textId="77777777" w:rsidR="003D134B" w:rsidRDefault="003D134B" w:rsidP="00A94260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62A2655A" w14:textId="77777777" w:rsidR="00A94260" w:rsidRPr="003D134B" w:rsidRDefault="00A94260" w:rsidP="00A94260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2B5B97C7" w14:textId="77777777" w:rsidR="00A94260" w:rsidRP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b/>
          <w:sz w:val="16"/>
          <w:szCs w:val="16"/>
        </w:rPr>
      </w:pPr>
      <w:r w:rsidRPr="00A94260">
        <w:rPr>
          <w:rFonts w:eastAsia="Calibri"/>
          <w:b/>
          <w:sz w:val="16"/>
          <w:szCs w:val="16"/>
        </w:rPr>
        <w:t xml:space="preserve">Гатчинская городская прокуратура разъясняет об уголовной ответственности за дачу взятки </w:t>
      </w:r>
    </w:p>
    <w:p w14:paraId="73DA7812" w14:textId="77777777" w:rsid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b/>
          <w:sz w:val="16"/>
          <w:szCs w:val="16"/>
        </w:rPr>
      </w:pPr>
      <w:r w:rsidRPr="00A94260">
        <w:rPr>
          <w:rFonts w:eastAsia="Calibri"/>
          <w:b/>
          <w:sz w:val="16"/>
          <w:szCs w:val="16"/>
        </w:rPr>
        <w:t>«Бытовая коррупция»</w:t>
      </w:r>
    </w:p>
    <w:p w14:paraId="45C6004D" w14:textId="77777777" w:rsidR="00A94260" w:rsidRP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b/>
          <w:sz w:val="16"/>
          <w:szCs w:val="16"/>
        </w:rPr>
      </w:pPr>
    </w:p>
    <w:p w14:paraId="1F3D2F05" w14:textId="58065666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 В текущем году на территории Ленинградской области более чем на 200% увеличилось количество зарегистрированных фактов «мелкого», так называемого «бытового» взяточничества. </w:t>
      </w:r>
    </w:p>
    <w:p w14:paraId="09419CA0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Как правило, взятки давались гражданами - водителями транспортных средств при их остановке сотрудниками ГИБДД и выявлении административных правонарушений. </w:t>
      </w:r>
    </w:p>
    <w:p w14:paraId="35225661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При этом, за последние два года органами расследования региона в суд направлено более пятидесяти уголовных дел по обвинению лиц в даче «бытовых взяток», по результатам рассмотрения которых в отношении них судами Ленинградской области постановлены обвинительные приговоры. Прокуратура Ленинградской области напоминает, что дача взятки является уголовно-наказуемым деянием и в зависимости от ее суммы действия взяткодателя подлежат уголовной ответственности по статьям 291 и 291.2 Уголовного кодекса Российской Федерации, наказание за совершение которых предусмотрено, в том числе, в </w:t>
      </w:r>
      <w:r w:rsidRPr="00A94260">
        <w:rPr>
          <w:rFonts w:eastAsia="Calibri"/>
          <w:sz w:val="16"/>
          <w:szCs w:val="16"/>
        </w:rPr>
        <w:t xml:space="preserve">виде </w:t>
      </w:r>
      <w:r w:rsidRPr="00A94260">
        <w:rPr>
          <w:rFonts w:eastAsia="Calibri"/>
          <w:b/>
          <w:i/>
          <w:sz w:val="16"/>
          <w:szCs w:val="16"/>
        </w:rPr>
        <w:t>лишения свободы на срок от одного года до пятнадцати лет.</w:t>
      </w:r>
      <w:r w:rsidRPr="00A94260">
        <w:rPr>
          <w:rFonts w:eastAsia="Calibri"/>
          <w:sz w:val="16"/>
          <w:szCs w:val="16"/>
        </w:rPr>
        <w:t xml:space="preserve"> </w:t>
      </w:r>
    </w:p>
    <w:p w14:paraId="0158A02F" w14:textId="77777777" w:rsid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Одновременно с этим, разъясняется, что согласно примечаниям к статьям 291 и 291.2 Уголовного кодекса Российской Федерации, лицо, давшее взятку, освобождается от уголовной ответственности, если оно активно способствовало раскрытию и (или) расследованию преступления и либо в отношении его имело место вымогательство взятки со стороны должностного лица, либо лицо после совершения преступления добровольно сообщило в орган, имеющий право возбудить уголовное дело, о даче взятки.</w:t>
      </w:r>
    </w:p>
    <w:p w14:paraId="14513B44" w14:textId="77777777" w:rsid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</w:p>
    <w:p w14:paraId="4B2DEAE4" w14:textId="77777777" w:rsid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</w:p>
    <w:p w14:paraId="767C987E" w14:textId="1AD69D92" w:rsid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***</w:t>
      </w:r>
    </w:p>
    <w:p w14:paraId="6DB04059" w14:textId="77777777" w:rsid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sz w:val="16"/>
          <w:szCs w:val="16"/>
        </w:rPr>
      </w:pPr>
    </w:p>
    <w:p w14:paraId="289E8017" w14:textId="4440324D" w:rsidR="00A94260" w:rsidRP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b/>
          <w:bCs/>
          <w:sz w:val="16"/>
          <w:szCs w:val="16"/>
        </w:rPr>
      </w:pPr>
      <w:r w:rsidRPr="00A94260">
        <w:rPr>
          <w:rFonts w:eastAsia="Calibri"/>
          <w:b/>
          <w:bCs/>
          <w:sz w:val="16"/>
          <w:szCs w:val="16"/>
        </w:rPr>
        <w:t>ИЗВЕЩЕНИЕ</w:t>
      </w:r>
    </w:p>
    <w:p w14:paraId="63A4CDEA" w14:textId="77777777" w:rsidR="00A94260" w:rsidRPr="00A94260" w:rsidRDefault="00A94260" w:rsidP="00A94260">
      <w:pPr>
        <w:spacing w:after="0" w:line="259" w:lineRule="auto"/>
        <w:ind w:left="284" w:right="189"/>
        <w:jc w:val="center"/>
        <w:rPr>
          <w:rFonts w:eastAsia="Calibri"/>
          <w:b/>
          <w:bCs/>
          <w:sz w:val="16"/>
          <w:szCs w:val="16"/>
        </w:rPr>
      </w:pPr>
      <w:r w:rsidRPr="00A94260">
        <w:rPr>
          <w:rFonts w:eastAsia="Calibri"/>
          <w:b/>
          <w:bCs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447C88DD" w14:textId="77777777" w:rsidR="00A94260" w:rsidRPr="00A94260" w:rsidRDefault="00A94260" w:rsidP="00A94260">
      <w:pPr>
        <w:spacing w:after="0" w:line="259" w:lineRule="auto"/>
        <w:ind w:left="284" w:right="189"/>
        <w:jc w:val="both"/>
        <w:rPr>
          <w:rFonts w:eastAsia="Calibri"/>
          <w:sz w:val="16"/>
          <w:szCs w:val="16"/>
        </w:rPr>
      </w:pPr>
    </w:p>
    <w:p w14:paraId="789B4D9D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94260">
        <w:rPr>
          <w:rFonts w:eastAsia="Calibri"/>
          <w:sz w:val="16"/>
          <w:szCs w:val="16"/>
        </w:rPr>
        <w:t>ЛенКадОценка</w:t>
      </w:r>
      <w:proofErr w:type="spellEnd"/>
      <w:r w:rsidRPr="00A94260">
        <w:rPr>
          <w:rFonts w:eastAsia="Calibri"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78FD7D3D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</w:t>
      </w:r>
      <w:r w:rsidRPr="00A94260">
        <w:rPr>
          <w:rFonts w:eastAsia="Calibri"/>
          <w:sz w:val="16"/>
          <w:szCs w:val="16"/>
        </w:rPr>
        <w:t xml:space="preserve">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2FBA7B15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0109A17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7F42671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C739ED5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AA12CCA" w14:textId="77777777" w:rsidR="00A94260" w:rsidRPr="00A94260" w:rsidRDefault="00A94260" w:rsidP="00A94260">
      <w:pPr>
        <w:spacing w:after="0" w:line="259" w:lineRule="auto"/>
        <w:ind w:left="284" w:right="189" w:firstLine="283"/>
        <w:jc w:val="both"/>
        <w:rPr>
          <w:rFonts w:eastAsia="Calibri"/>
          <w:sz w:val="16"/>
          <w:szCs w:val="16"/>
        </w:rPr>
      </w:pPr>
      <w:r w:rsidRPr="00A94260">
        <w:rPr>
          <w:rFonts w:eastAsia="Calibri"/>
          <w:sz w:val="16"/>
          <w:szCs w:val="16"/>
        </w:rPr>
        <w:t>Постановлением Правительства Ленинградской области от 19.06.2024 № 423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46 объектов недвижимого имущества.</w:t>
      </w:r>
    </w:p>
    <w:p w14:paraId="3F0EED5A" w14:textId="77777777" w:rsidR="00A94260" w:rsidRDefault="00A94260" w:rsidP="00A94260">
      <w:pPr>
        <w:spacing w:after="0" w:line="259" w:lineRule="auto"/>
        <w:ind w:left="284" w:right="189"/>
        <w:jc w:val="both"/>
        <w:rPr>
          <w:rFonts w:eastAsia="Calibri"/>
          <w:sz w:val="16"/>
          <w:szCs w:val="16"/>
        </w:rPr>
      </w:pPr>
    </w:p>
    <w:p w14:paraId="19152A67" w14:textId="1B4C0C4B" w:rsidR="00A94260" w:rsidRDefault="008A5D42" w:rsidP="008A5D42">
      <w:pPr>
        <w:spacing w:after="0" w:line="259" w:lineRule="auto"/>
        <w:ind w:left="-567" w:right="189"/>
        <w:jc w:val="both"/>
        <w:rPr>
          <w:rFonts w:eastAsia="Calibri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CA7204A" wp14:editId="15536504">
            <wp:extent cx="3779773" cy="5048250"/>
            <wp:effectExtent l="0" t="0" r="0" b="0"/>
            <wp:docPr id="215136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2"/>
                    <a:stretch/>
                  </pic:blipFill>
                  <pic:spPr bwMode="auto">
                    <a:xfrm>
                      <a:off x="0" y="0"/>
                      <a:ext cx="3783867" cy="50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C5485" w14:textId="5013187D" w:rsidR="008A5D42" w:rsidRDefault="008A5D42" w:rsidP="008A5D42">
      <w:pPr>
        <w:spacing w:after="0" w:line="259" w:lineRule="auto"/>
        <w:ind w:left="-567" w:right="189"/>
        <w:jc w:val="both"/>
        <w:rPr>
          <w:rFonts w:eastAsia="Calibri"/>
          <w:sz w:val="16"/>
          <w:szCs w:val="16"/>
        </w:rPr>
      </w:pPr>
      <w:r>
        <w:rPr>
          <w:noProof/>
        </w:rPr>
        <w:drawing>
          <wp:inline distT="0" distB="0" distL="0" distR="0" wp14:anchorId="32E70A30" wp14:editId="37BE29B9">
            <wp:extent cx="3810858" cy="4838700"/>
            <wp:effectExtent l="0" t="0" r="0" b="0"/>
            <wp:docPr id="9007953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8"/>
                    <a:stretch/>
                  </pic:blipFill>
                  <pic:spPr bwMode="auto">
                    <a:xfrm>
                      <a:off x="0" y="0"/>
                      <a:ext cx="3820374" cy="48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7DEC" w14:textId="6593DA50" w:rsidR="008A5D42" w:rsidRDefault="008A5D42" w:rsidP="008A5D42">
      <w:pPr>
        <w:spacing w:after="0" w:line="259" w:lineRule="auto"/>
        <w:ind w:left="-426" w:right="189"/>
        <w:jc w:val="both"/>
        <w:rPr>
          <w:rFonts w:eastAsia="Calibri"/>
          <w:sz w:val="16"/>
          <w:szCs w:val="16"/>
        </w:rPr>
      </w:pPr>
      <w:r>
        <w:rPr>
          <w:noProof/>
        </w:rPr>
        <w:drawing>
          <wp:inline distT="0" distB="0" distL="0" distR="0" wp14:anchorId="1CD7EB57" wp14:editId="188815EF">
            <wp:extent cx="3445775" cy="4581525"/>
            <wp:effectExtent l="0" t="0" r="2540" b="0"/>
            <wp:docPr id="6784730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"/>
                    <a:stretch/>
                  </pic:blipFill>
                  <pic:spPr bwMode="auto">
                    <a:xfrm>
                      <a:off x="0" y="0"/>
                      <a:ext cx="3448382" cy="45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DA961" w14:textId="77777777" w:rsidR="008A5D42" w:rsidRPr="00A94260" w:rsidRDefault="008A5D42" w:rsidP="00A94260">
      <w:pPr>
        <w:spacing w:after="0" w:line="259" w:lineRule="auto"/>
        <w:ind w:left="284" w:right="189"/>
        <w:jc w:val="both"/>
        <w:rPr>
          <w:rFonts w:eastAsia="Calibri"/>
          <w:sz w:val="16"/>
          <w:szCs w:val="16"/>
        </w:rPr>
      </w:pPr>
    </w:p>
    <w:p w14:paraId="75310DCF" w14:textId="704F2532" w:rsidR="00A36838" w:rsidRDefault="008A5D42" w:rsidP="008A5D42">
      <w:pPr>
        <w:pStyle w:val="29"/>
        <w:tabs>
          <w:tab w:val="left" w:pos="4820"/>
        </w:tabs>
        <w:ind w:left="-709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AC5C181" wp14:editId="528D79D7">
            <wp:extent cx="3753817" cy="4991100"/>
            <wp:effectExtent l="0" t="0" r="0" b="0"/>
            <wp:docPr id="3933864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"/>
                    <a:stretch/>
                  </pic:blipFill>
                  <pic:spPr bwMode="auto">
                    <a:xfrm>
                      <a:off x="0" y="0"/>
                      <a:ext cx="3767469" cy="50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B4A65" w14:textId="1157C279" w:rsidR="008A5D42" w:rsidRDefault="008A5D42" w:rsidP="008A5D42">
      <w:pPr>
        <w:pStyle w:val="29"/>
        <w:tabs>
          <w:tab w:val="left" w:pos="4820"/>
        </w:tabs>
        <w:ind w:left="-567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56889B7" wp14:editId="73850E96">
            <wp:extent cx="3629004" cy="4857750"/>
            <wp:effectExtent l="0" t="0" r="0" b="0"/>
            <wp:docPr id="10059182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0"/>
                    <a:stretch/>
                  </pic:blipFill>
                  <pic:spPr bwMode="auto">
                    <a:xfrm>
                      <a:off x="0" y="0"/>
                      <a:ext cx="3634733" cy="48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A600D" w14:textId="4C766472" w:rsidR="008A5D42" w:rsidRDefault="008A5D42" w:rsidP="008A5D42">
      <w:pPr>
        <w:pStyle w:val="29"/>
        <w:tabs>
          <w:tab w:val="left" w:pos="4820"/>
        </w:tabs>
        <w:ind w:left="-709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738EFCC" wp14:editId="2137C4C9">
            <wp:extent cx="3505200" cy="4671034"/>
            <wp:effectExtent l="0" t="0" r="0" b="0"/>
            <wp:docPr id="17866687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"/>
                    <a:stretch/>
                  </pic:blipFill>
                  <pic:spPr bwMode="auto">
                    <a:xfrm>
                      <a:off x="0" y="0"/>
                      <a:ext cx="3509308" cy="46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3D817" w14:textId="7AD06DFB" w:rsidR="008A5D42" w:rsidRDefault="008A5D42" w:rsidP="008A5D42">
      <w:pPr>
        <w:pStyle w:val="29"/>
        <w:tabs>
          <w:tab w:val="left" w:pos="4820"/>
        </w:tabs>
        <w:ind w:left="-567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D702229" wp14:editId="63432037">
            <wp:extent cx="3630035" cy="2924175"/>
            <wp:effectExtent l="0" t="0" r="8890" b="0"/>
            <wp:docPr id="11294392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5"/>
                    <a:stretch/>
                  </pic:blipFill>
                  <pic:spPr bwMode="auto">
                    <a:xfrm>
                      <a:off x="0" y="0"/>
                      <a:ext cx="3635770" cy="29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D42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35724" w14:textId="77777777" w:rsidR="00DD12C4" w:rsidRDefault="00DD12C4">
      <w:pPr>
        <w:spacing w:after="0" w:line="240" w:lineRule="auto"/>
      </w:pPr>
      <w:r>
        <w:separator/>
      </w:r>
    </w:p>
  </w:endnote>
  <w:endnote w:type="continuationSeparator" w:id="0">
    <w:p w14:paraId="458D83DD" w14:textId="77777777" w:rsidR="00DD12C4" w:rsidRDefault="00DD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646D5" w14:textId="77777777" w:rsidR="00DD12C4" w:rsidRDefault="00DD12C4">
      <w:pPr>
        <w:spacing w:after="0" w:line="240" w:lineRule="auto"/>
      </w:pPr>
      <w:r>
        <w:separator/>
      </w:r>
    </w:p>
  </w:footnote>
  <w:footnote w:type="continuationSeparator" w:id="0">
    <w:p w14:paraId="5A7312F1" w14:textId="77777777" w:rsidR="00DD12C4" w:rsidRDefault="00DD1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7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6"/>
  </w:num>
  <w:num w:numId="5" w16cid:durableId="1150097140">
    <w:abstractNumId w:val="29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7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5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8"/>
  </w:num>
  <w:num w:numId="22" w16cid:durableId="530268741">
    <w:abstractNumId w:val="16"/>
  </w:num>
  <w:num w:numId="23" w16cid:durableId="973756262">
    <w:abstractNumId w:val="22"/>
  </w:num>
  <w:num w:numId="24" w16cid:durableId="196285657">
    <w:abstractNumId w:val="24"/>
  </w:num>
  <w:num w:numId="25" w16cid:durableId="68802448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134B"/>
    <w:rsid w:val="003D22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237B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22A2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71A1E"/>
    <w:rsid w:val="0088063C"/>
    <w:rsid w:val="00884992"/>
    <w:rsid w:val="00885583"/>
    <w:rsid w:val="00894D34"/>
    <w:rsid w:val="00897D93"/>
    <w:rsid w:val="008A4275"/>
    <w:rsid w:val="008A5D42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2930"/>
    <w:rsid w:val="00A83B38"/>
    <w:rsid w:val="00A84F50"/>
    <w:rsid w:val="00A85C2D"/>
    <w:rsid w:val="00A8678F"/>
    <w:rsid w:val="00A87714"/>
    <w:rsid w:val="00A941BE"/>
    <w:rsid w:val="00A94260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A9F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14B6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4B5"/>
    <w:rsid w:val="00DC13F1"/>
    <w:rsid w:val="00DC166D"/>
    <w:rsid w:val="00DC238E"/>
    <w:rsid w:val="00DC25A7"/>
    <w:rsid w:val="00DD12C4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16</cp:revision>
  <cp:lastPrinted>2024-01-22T09:21:00Z</cp:lastPrinted>
  <dcterms:created xsi:type="dcterms:W3CDTF">2024-02-13T13:28:00Z</dcterms:created>
  <dcterms:modified xsi:type="dcterms:W3CDTF">2024-06-24T06:53:00Z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