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16" w:rsidRPr="00EE2A78" w:rsidRDefault="00086916" w:rsidP="00086916">
      <w:pPr>
        <w:jc w:val="center"/>
        <w:rPr>
          <w:sz w:val="28"/>
          <w:szCs w:val="28"/>
        </w:rPr>
      </w:pPr>
    </w:p>
    <w:p w:rsidR="00086916" w:rsidRPr="00B007A2" w:rsidRDefault="00E44AD9" w:rsidP="00E44AD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48657B" wp14:editId="4A69FEFE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16" w:rsidRDefault="00086916" w:rsidP="00086916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86916" w:rsidRPr="00E44AD9" w:rsidRDefault="00E44AD9" w:rsidP="00086916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ноября </w:t>
      </w:r>
      <w:r w:rsidR="00086916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86916">
        <w:rPr>
          <w:rFonts w:ascii="Times New Roman" w:hAnsi="Times New Roman"/>
          <w:sz w:val="24"/>
          <w:szCs w:val="24"/>
        </w:rPr>
        <w:t xml:space="preserve">     </w:t>
      </w:r>
      <w:r w:rsidR="00086916"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№ </w:t>
      </w:r>
      <w:r w:rsidR="00DB2B5B">
        <w:rPr>
          <w:rFonts w:ascii="Times New Roman" w:hAnsi="Times New Roman"/>
          <w:sz w:val="24"/>
          <w:szCs w:val="24"/>
        </w:rPr>
        <w:t>411</w:t>
      </w:r>
    </w:p>
    <w:p w:rsidR="00086916" w:rsidRDefault="00086916" w:rsidP="00086916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615784" w:rsidRPr="00EE2A78" w:rsidTr="00BD338F">
        <w:trPr>
          <w:trHeight w:val="3466"/>
        </w:trPr>
        <w:tc>
          <w:tcPr>
            <w:tcW w:w="5387" w:type="dxa"/>
          </w:tcPr>
          <w:p w:rsidR="00BD338F" w:rsidRPr="00086916" w:rsidRDefault="00086916" w:rsidP="00BD338F">
            <w:pPr>
              <w:rPr>
                <w:bCs/>
                <w:color w:val="000000" w:themeColor="text1"/>
                <w:shd w:val="clear" w:color="auto" w:fill="FFFFFF"/>
              </w:rPr>
            </w:pPr>
            <w:r w:rsidRPr="00086916">
              <w:rPr>
                <w:bCs/>
                <w:color w:val="000000" w:themeColor="text1"/>
              </w:rPr>
              <w:t>О</w:t>
            </w:r>
            <w:r w:rsidR="00BD338F" w:rsidRPr="00086916">
              <w:rPr>
                <w:bCs/>
                <w:color w:val="000000" w:themeColor="text1"/>
              </w:rPr>
              <w:t>б утверждении п</w:t>
            </w:r>
            <w:r w:rsidR="00BD338F" w:rsidRPr="00086916">
              <w:rPr>
                <w:bCs/>
                <w:color w:val="000000" w:themeColor="text1"/>
                <w:shd w:val="clear" w:color="auto" w:fill="FFFFFF"/>
              </w:rPr>
              <w:t xml:space="preserve">рограммы </w:t>
            </w:r>
            <w:r w:rsidR="00BD338F" w:rsidRPr="00086916">
              <w:rPr>
                <w:rFonts w:cs="Tahoma"/>
                <w:bCs/>
                <w:color w:val="000000"/>
                <w:kern w:val="2"/>
                <w:lang w:eastAsia="en-US"/>
              </w:rPr>
              <w:t xml:space="preserve">(плана) </w:t>
            </w:r>
            <w:r w:rsidR="00BD338F" w:rsidRPr="00086916">
              <w:rPr>
                <w:bCs/>
                <w:color w:val="000000" w:themeColor="text1"/>
                <w:shd w:val="clear" w:color="auto" w:fill="FFFFFF"/>
              </w:rPr>
              <w:t>профилактики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  <w:shd w:val="clear" w:color="auto" w:fill="FFFFFF"/>
              </w:rPr>
            </w:pPr>
            <w:r w:rsidRPr="00086916">
              <w:rPr>
                <w:bCs/>
                <w:color w:val="000000" w:themeColor="text1"/>
                <w:shd w:val="clear" w:color="auto" w:fill="FFFFFF"/>
              </w:rPr>
              <w:t xml:space="preserve"> рисков причинения вреда (ущерба) охраняемым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</w:rPr>
            </w:pPr>
            <w:r w:rsidRPr="00086916">
              <w:rPr>
                <w:bCs/>
                <w:color w:val="000000" w:themeColor="text1"/>
                <w:shd w:val="clear" w:color="auto" w:fill="FFFFFF"/>
              </w:rPr>
              <w:t xml:space="preserve"> законом ценностям в сфере</w:t>
            </w:r>
            <w:r w:rsidRPr="00086916">
              <w:rPr>
                <w:bCs/>
                <w:color w:val="000000" w:themeColor="text1"/>
              </w:rPr>
              <w:t xml:space="preserve"> муниципального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</w:rPr>
            </w:pPr>
            <w:r w:rsidRPr="00086916">
              <w:rPr>
                <w:bCs/>
                <w:color w:val="000000" w:themeColor="text1"/>
              </w:rPr>
              <w:t>контроля за исполнением единой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</w:rPr>
            </w:pPr>
            <w:r w:rsidRPr="00086916">
              <w:rPr>
                <w:bCs/>
                <w:color w:val="000000" w:themeColor="text1"/>
              </w:rPr>
              <w:t xml:space="preserve"> теплоснабжающей организацией обязательств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</w:rPr>
            </w:pPr>
            <w:r w:rsidRPr="00086916">
              <w:rPr>
                <w:bCs/>
                <w:color w:val="000000" w:themeColor="text1"/>
              </w:rPr>
              <w:t xml:space="preserve">по строительству, реконструкции и (или) </w:t>
            </w:r>
          </w:p>
          <w:p w:rsidR="00615784" w:rsidRPr="00ED5C31" w:rsidRDefault="00BD338F" w:rsidP="00BD338F">
            <w:pPr>
              <w:rPr>
                <w:rFonts w:cs="Tahoma"/>
                <w:bCs/>
                <w:color w:val="000000"/>
                <w:kern w:val="2"/>
              </w:rPr>
            </w:pPr>
            <w:r w:rsidRPr="00086916">
              <w:rPr>
                <w:bCs/>
                <w:color w:val="000000" w:themeColor="text1"/>
              </w:rPr>
              <w:t xml:space="preserve">модернизации объектов теплоснабжения на территории </w:t>
            </w:r>
            <w:r w:rsidR="00086916" w:rsidRPr="00086916">
              <w:rPr>
                <w:bCs/>
                <w:color w:val="000000" w:themeColor="text1"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086916">
              <w:rPr>
                <w:bCs/>
                <w:color w:val="000000" w:themeColor="text1"/>
              </w:rPr>
              <w:t xml:space="preserve"> на 2022 год</w:t>
            </w:r>
            <w:r w:rsidR="002F601E" w:rsidRPr="00B9056A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44AD9" w:rsidRDefault="002F601E" w:rsidP="00BD338F">
      <w:pPr>
        <w:autoSpaceDE w:val="0"/>
        <w:autoSpaceDN w:val="0"/>
        <w:adjustRightInd w:val="0"/>
        <w:ind w:firstLine="709"/>
        <w:jc w:val="both"/>
      </w:pPr>
      <w:r w:rsidRPr="00F53927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F53927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F53927">
        <w:rPr>
          <w:rFonts w:cs="Tahoma"/>
          <w:color w:val="000000"/>
          <w:kern w:val="2"/>
          <w:lang w:eastAsia="en-US"/>
        </w:rPr>
        <w:t>Федеральн</w:t>
      </w:r>
      <w:r w:rsidR="00153A5E" w:rsidRPr="00F53927">
        <w:rPr>
          <w:rFonts w:cs="Tahoma"/>
          <w:color w:val="000000"/>
          <w:kern w:val="2"/>
          <w:lang w:eastAsia="en-US"/>
        </w:rPr>
        <w:t>ым</w:t>
      </w:r>
      <w:r w:rsidRPr="00F53927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F53927">
        <w:rPr>
          <w:rFonts w:cs="Tahoma"/>
          <w:color w:val="000000"/>
          <w:kern w:val="2"/>
          <w:lang w:eastAsia="en-US"/>
        </w:rPr>
        <w:t>ом</w:t>
      </w:r>
      <w:r w:rsidRPr="00F53927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F53927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F53927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</w:t>
      </w:r>
      <w:proofErr w:type="gramStart"/>
      <w:r w:rsidRPr="00F53927">
        <w:rPr>
          <w:rFonts w:cs="Tahoma"/>
          <w:color w:val="000000"/>
          <w:kern w:val="2"/>
          <w:lang w:eastAsia="en-US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 w:rsidRPr="00F53927">
        <w:rPr>
          <w:rFonts w:eastAsia="Calibri"/>
          <w:bCs/>
          <w:color w:val="000000"/>
        </w:rPr>
        <w:t>с</w:t>
      </w:r>
      <w:r w:rsidRPr="00F53927">
        <w:rPr>
          <w:rFonts w:eastAsia="Calibri"/>
          <w:bCs/>
          <w:color w:val="000000"/>
        </w:rPr>
        <w:t xml:space="preserve">овета депутатов </w:t>
      </w:r>
      <w:r w:rsidR="00086916" w:rsidRPr="00F53927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30.09.2021  № 126</w:t>
      </w:r>
      <w:r w:rsidR="00153A5E" w:rsidRPr="00F53927">
        <w:rPr>
          <w:rFonts w:eastAsia="Calibri"/>
          <w:bCs/>
          <w:color w:val="000000"/>
        </w:rPr>
        <w:t xml:space="preserve"> «Об утверждении положения о муниципальном</w:t>
      </w:r>
      <w:r w:rsidR="00BD338F" w:rsidRPr="00F53927">
        <w:rPr>
          <w:rFonts w:eastAsia="Calibri"/>
          <w:bCs/>
          <w:color w:val="000000"/>
        </w:rPr>
        <w:t xml:space="preserve">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086916" w:rsidRPr="00F53927">
        <w:rPr>
          <w:rFonts w:eastAsia="Calibri"/>
          <w:bCs/>
          <w:color w:val="000000"/>
        </w:rPr>
        <w:t xml:space="preserve"> муниципального</w:t>
      </w:r>
      <w:proofErr w:type="gramEnd"/>
      <w:r w:rsidR="00086916" w:rsidRPr="00F53927">
        <w:rPr>
          <w:rFonts w:eastAsia="Calibri"/>
          <w:bCs/>
          <w:color w:val="000000"/>
        </w:rPr>
        <w:t xml:space="preserve"> образования Елизаветинское сельское поселение Гатчинского муниципального района Ленинградской области», </w:t>
      </w:r>
      <w:r w:rsidRPr="00F53927">
        <w:t>руководствуясь Уставом</w:t>
      </w:r>
      <w:r w:rsidR="00F53927" w:rsidRPr="00F53927">
        <w:t xml:space="preserve"> муниципального образования Елизаветинское сельское поселение, </w:t>
      </w:r>
      <w:r w:rsidRPr="00F53927">
        <w:t xml:space="preserve"> </w:t>
      </w:r>
      <w:r w:rsidR="00F53927" w:rsidRPr="00F53927">
        <w:t xml:space="preserve">администрация муниципального образования Елизаветинского сельского поселения, </w:t>
      </w:r>
    </w:p>
    <w:p w:rsidR="002F601E" w:rsidRDefault="00F53927" w:rsidP="00E44AD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53927">
        <w:rPr>
          <w:b/>
          <w:bCs/>
        </w:rPr>
        <w:t>ПОСТАНОВЛЯЕТ:</w:t>
      </w:r>
    </w:p>
    <w:p w:rsidR="002E0659" w:rsidRPr="00F53927" w:rsidRDefault="002E0659" w:rsidP="00E44AD9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:rsidR="002F601E" w:rsidRPr="002E0659" w:rsidRDefault="002F601E" w:rsidP="00BD338F">
      <w:pPr>
        <w:jc w:val="both"/>
        <w:rPr>
          <w:bCs/>
          <w:color w:val="000000" w:themeColor="text1"/>
        </w:rPr>
      </w:pPr>
      <w:r w:rsidRPr="002E0659">
        <w:rPr>
          <w:rFonts w:cs="Tahoma"/>
          <w:color w:val="000000"/>
          <w:kern w:val="2"/>
          <w:lang w:eastAsia="fa-IR" w:bidi="fa-IR"/>
        </w:rPr>
        <w:t xml:space="preserve">1. Утвердить </w:t>
      </w:r>
      <w:bookmarkStart w:id="0" w:name="_Hlk83744094"/>
      <w:r w:rsidRPr="002E0659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2E0659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="00BD338F" w:rsidRPr="002E0659">
        <w:rPr>
          <w:bCs/>
          <w:color w:val="000000" w:themeColor="text1"/>
          <w:shd w:val="clear" w:color="auto" w:fill="FFFFFF"/>
        </w:rPr>
        <w:t>в сфере</w:t>
      </w:r>
      <w:r w:rsidR="00BD338F" w:rsidRPr="002E0659">
        <w:rPr>
          <w:bCs/>
          <w:color w:val="000000" w:themeColor="text1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2E0659" w:rsidRPr="002E0659">
        <w:rPr>
          <w:bCs/>
          <w:color w:val="000000" w:themeColor="text1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2E0659">
        <w:rPr>
          <w:bCs/>
          <w:color w:val="000000" w:themeColor="text1"/>
        </w:rPr>
        <w:t xml:space="preserve">  </w:t>
      </w:r>
      <w:r w:rsidR="00BD338F" w:rsidRPr="002E0659">
        <w:rPr>
          <w:bCs/>
          <w:color w:val="000000" w:themeColor="text1"/>
        </w:rPr>
        <w:t>на 2022 год</w:t>
      </w:r>
      <w:r w:rsidR="00ED5C31" w:rsidRPr="002E0659">
        <w:rPr>
          <w:rFonts w:cs="Tahoma"/>
          <w:bCs/>
          <w:color w:val="000000"/>
          <w:kern w:val="2"/>
        </w:rPr>
        <w:t xml:space="preserve">» </w:t>
      </w:r>
      <w:bookmarkEnd w:id="0"/>
      <w:r w:rsidRPr="002E0659">
        <w:rPr>
          <w:rFonts w:cs="Tahoma"/>
          <w:color w:val="000000"/>
          <w:kern w:val="2"/>
          <w:lang w:eastAsia="fa-IR" w:bidi="fa-IR"/>
        </w:rPr>
        <w:t>согласно приложению.</w:t>
      </w:r>
    </w:p>
    <w:p w:rsidR="002E0659" w:rsidRPr="001B5BF9" w:rsidRDefault="002E0659" w:rsidP="002E0659">
      <w:pPr>
        <w:tabs>
          <w:tab w:val="left" w:pos="720"/>
        </w:tabs>
        <w:jc w:val="both"/>
      </w:pPr>
      <w:r w:rsidRPr="001B5BF9">
        <w:t xml:space="preserve">2. </w:t>
      </w:r>
      <w:r w:rsidRPr="001B5BF9">
        <w:rPr>
          <w:rFonts w:eastAsiaTheme="minorHAnsi"/>
        </w:rPr>
        <w:t xml:space="preserve"> Настоящее постановление подлежит официальному опубликованию в печатном издании «Елизаветинский вестник»,  размещению на официальном сайте МО Елизаветинское </w:t>
      </w:r>
      <w:r w:rsidRPr="001B5BF9">
        <w:rPr>
          <w:rFonts w:eastAsiaTheme="minorHAnsi"/>
        </w:rPr>
        <w:lastRenderedPageBreak/>
        <w:t xml:space="preserve">сельское поселение в информационно-телекоммуникационной сети «Интернет» </w:t>
      </w:r>
      <w:r w:rsidRPr="001B5BF9">
        <w:t xml:space="preserve">  и вступает в силу после его официального опубликования.</w:t>
      </w:r>
    </w:p>
    <w:p w:rsidR="002E0659" w:rsidRPr="001B5BF9" w:rsidRDefault="002E0659" w:rsidP="002E0659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="00E44AD9">
        <w:t xml:space="preserve">. </w:t>
      </w:r>
      <w:proofErr w:type="gramStart"/>
      <w:r w:rsidRPr="001B5BF9">
        <w:t>Контроль за</w:t>
      </w:r>
      <w:proofErr w:type="gramEnd"/>
      <w:r w:rsidRPr="001B5BF9">
        <w:t xml:space="preserve">  исполнением настоящего постановления  оставляю за собой.</w:t>
      </w:r>
    </w:p>
    <w:p w:rsidR="002E0659" w:rsidRPr="001B5BF9" w:rsidRDefault="002E0659" w:rsidP="002E0659">
      <w:pPr>
        <w:ind w:left="5670"/>
      </w:pPr>
    </w:p>
    <w:p w:rsidR="002E0659" w:rsidRPr="001B5BF9" w:rsidRDefault="002E0659" w:rsidP="002E0659">
      <w:pPr>
        <w:ind w:left="5670"/>
      </w:pPr>
    </w:p>
    <w:p w:rsidR="002E0659" w:rsidRPr="001B5BF9" w:rsidRDefault="002E0659" w:rsidP="002E0659">
      <w:pPr>
        <w:ind w:left="5670"/>
      </w:pPr>
    </w:p>
    <w:p w:rsidR="002E0659" w:rsidRPr="001B5BF9" w:rsidRDefault="002E0659" w:rsidP="002E0659">
      <w:pPr>
        <w:ind w:left="5670"/>
      </w:pPr>
    </w:p>
    <w:p w:rsidR="002E0659" w:rsidRPr="001B5BF9" w:rsidRDefault="002E0659" w:rsidP="002E0659">
      <w:r w:rsidRPr="001B5BF9">
        <w:t>Глава администрации</w:t>
      </w:r>
    </w:p>
    <w:p w:rsidR="002E0659" w:rsidRPr="001B5BF9" w:rsidRDefault="002E0659" w:rsidP="002E0659">
      <w:r w:rsidRPr="001B5BF9">
        <w:t xml:space="preserve">Елизаветинского сельского поселения                 </w:t>
      </w:r>
      <w:r w:rsidR="00E44AD9">
        <w:t xml:space="preserve">                                   В.В. </w:t>
      </w:r>
      <w:proofErr w:type="spellStart"/>
      <w:r w:rsidR="00E44AD9">
        <w:t>Зубрилин</w:t>
      </w:r>
      <w:proofErr w:type="spellEnd"/>
    </w:p>
    <w:p w:rsidR="002E0659" w:rsidRPr="001B5BF9" w:rsidRDefault="002E0659" w:rsidP="002E0659">
      <w:pPr>
        <w:ind w:left="5670"/>
        <w:jc w:val="both"/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Pr="00315DD7" w:rsidRDefault="002E0659" w:rsidP="00153A5E">
      <w:pPr>
        <w:jc w:val="both"/>
        <w:rPr>
          <w:b/>
        </w:rPr>
      </w:pPr>
      <w:r>
        <w:rPr>
          <w:sz w:val="20"/>
        </w:rPr>
        <w:t>Смирнова О.Т.</w:t>
      </w:r>
    </w:p>
    <w:p w:rsidR="00997DD1" w:rsidRDefault="00997DD1" w:rsidP="00AF2EE7">
      <w:pPr>
        <w:ind w:left="5670"/>
        <w:jc w:val="both"/>
      </w:pPr>
    </w:p>
    <w:p w:rsidR="00997DD1" w:rsidRDefault="00997DD1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2E0659" w:rsidRDefault="002E0659" w:rsidP="00AF2EE7">
      <w:pPr>
        <w:ind w:left="5670"/>
        <w:jc w:val="both"/>
      </w:pPr>
      <w:r>
        <w:t>муниципального образования</w:t>
      </w:r>
    </w:p>
    <w:p w:rsidR="002E0659" w:rsidRPr="000D13E8" w:rsidRDefault="002E0659" w:rsidP="00AF2EE7">
      <w:pPr>
        <w:ind w:left="5670"/>
        <w:jc w:val="both"/>
      </w:pPr>
      <w:r>
        <w:t xml:space="preserve">Елизаветинское сельское поселение </w:t>
      </w:r>
    </w:p>
    <w:p w:rsidR="00AF2EE7" w:rsidRPr="000D13E8" w:rsidRDefault="00AF2EE7" w:rsidP="00AF2EE7">
      <w:pPr>
        <w:ind w:left="5670"/>
        <w:jc w:val="both"/>
      </w:pP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="00DB2B5B">
        <w:t xml:space="preserve">                      от 16 ноября </w:t>
      </w:r>
      <w:r w:rsidRPr="000D13E8">
        <w:t>20</w:t>
      </w:r>
      <w:r>
        <w:t>21</w:t>
      </w:r>
      <w:r w:rsidR="00DB2B5B">
        <w:t xml:space="preserve"> № </w:t>
      </w:r>
      <w:bookmarkStart w:id="1" w:name="_GoBack"/>
      <w:bookmarkEnd w:id="1"/>
      <w:r w:rsidR="00DB2B5B">
        <w:t>411</w:t>
      </w:r>
    </w:p>
    <w:p w:rsidR="00AF2EE7" w:rsidRPr="00992A85" w:rsidRDefault="00AF2EE7" w:rsidP="00DB2B5B">
      <w:pPr>
        <w:shd w:val="clear" w:color="auto" w:fill="FFFFFF"/>
        <w:tabs>
          <w:tab w:val="left" w:pos="2268"/>
        </w:tabs>
        <w:suppressAutoHyphens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571609" w:rsidRDefault="00BD338F" w:rsidP="00AF2EE7">
      <w:pPr>
        <w:suppressAutoHyphens/>
        <w:autoSpaceDN w:val="0"/>
        <w:jc w:val="center"/>
        <w:textAlignment w:val="baseline"/>
        <w:rPr>
          <w:bCs/>
          <w:color w:val="000000" w:themeColor="text1"/>
        </w:rPr>
      </w:pPr>
      <w:r w:rsidRPr="00571609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Pr="00571609">
        <w:rPr>
          <w:bCs/>
          <w:color w:val="000000" w:themeColor="text1"/>
          <w:shd w:val="clear" w:color="auto" w:fill="FFFFFF"/>
        </w:rPr>
        <w:t>в сфере</w:t>
      </w:r>
      <w:r w:rsidRPr="00571609">
        <w:rPr>
          <w:bCs/>
          <w:color w:val="000000" w:themeColor="text1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2E0659" w:rsidRPr="00571609">
        <w:rPr>
          <w:bCs/>
          <w:color w:val="000000" w:themeColor="text1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571609">
        <w:rPr>
          <w:bCs/>
          <w:color w:val="000000" w:themeColor="text1"/>
        </w:rPr>
        <w:t xml:space="preserve"> на 2022 год</w:t>
      </w:r>
    </w:p>
    <w:p w:rsidR="00BD338F" w:rsidRPr="00571609" w:rsidRDefault="00BD338F" w:rsidP="00AF2EE7">
      <w:pPr>
        <w:suppressAutoHyphens/>
        <w:autoSpaceDN w:val="0"/>
        <w:jc w:val="center"/>
        <w:textAlignment w:val="baseline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D338F" w:rsidRPr="00571609" w:rsidRDefault="00AF2EE7" w:rsidP="00ED72BE">
      <w:pPr>
        <w:suppressAutoHyphens/>
        <w:autoSpaceDN w:val="0"/>
        <w:ind w:firstLine="708"/>
        <w:jc w:val="both"/>
        <w:textAlignment w:val="baseline"/>
        <w:rPr>
          <w:color w:val="000000"/>
        </w:rPr>
      </w:pPr>
      <w:r w:rsidRPr="00571609">
        <w:rPr>
          <w:color w:val="000000"/>
        </w:rPr>
        <w:t xml:space="preserve">Настоящая Программа </w:t>
      </w:r>
      <w:r w:rsidR="00BD338F" w:rsidRPr="00571609">
        <w:rPr>
          <w:rFonts w:cs="Tahoma"/>
          <w:bCs/>
          <w:color w:val="000000"/>
          <w:kern w:val="2"/>
          <w:lang w:eastAsia="en-US"/>
        </w:rPr>
        <w:t xml:space="preserve">профилактики рисков причинения вреда (ущерба) охраняемым законом ценностям </w:t>
      </w:r>
      <w:r w:rsidR="00BD338F" w:rsidRPr="00571609">
        <w:rPr>
          <w:bCs/>
          <w:color w:val="000000" w:themeColor="text1"/>
          <w:shd w:val="clear" w:color="auto" w:fill="FFFFFF"/>
        </w:rPr>
        <w:t>в сфере</w:t>
      </w:r>
      <w:r w:rsidR="00BD338F" w:rsidRPr="00571609">
        <w:rPr>
          <w:bCs/>
          <w:color w:val="000000" w:themeColor="text1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2E0659" w:rsidRPr="00571609">
        <w:rPr>
          <w:bCs/>
          <w:color w:val="000000" w:themeColor="text1"/>
        </w:rPr>
        <w:t xml:space="preserve">муниципального образования Елизаветинское сельское поселение Гатчинского муниципального района Ленинградской области </w:t>
      </w:r>
      <w:r w:rsidR="00BD338F" w:rsidRPr="00571609">
        <w:rPr>
          <w:bCs/>
          <w:color w:val="000000" w:themeColor="text1"/>
        </w:rPr>
        <w:t xml:space="preserve"> на 2022 год</w:t>
      </w:r>
      <w:r w:rsidR="00997DD1" w:rsidRPr="00571609">
        <w:rPr>
          <w:b/>
          <w:color w:val="000000"/>
        </w:rPr>
        <w:t xml:space="preserve"> </w:t>
      </w:r>
      <w:r w:rsidRPr="00571609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571609">
        <w:rPr>
          <w:color w:val="000000"/>
        </w:rPr>
        <w:t xml:space="preserve">.07.2020 </w:t>
      </w:r>
      <w:r w:rsidRPr="00571609">
        <w:rPr>
          <w:color w:val="000000"/>
        </w:rPr>
        <w:t xml:space="preserve">№ 248-ФЗ </w:t>
      </w:r>
      <w:hyperlink r:id="rId7" w:anchor="64U0IK" w:history="1">
        <w:r w:rsidRPr="00571609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571609">
        <w:rPr>
          <w:color w:val="000000"/>
        </w:rPr>
        <w:t>», постановлением Правительства Российской Федерации от 25</w:t>
      </w:r>
      <w:r w:rsidR="00992A85" w:rsidRPr="00571609">
        <w:rPr>
          <w:color w:val="000000"/>
        </w:rPr>
        <w:t>.06.2021</w:t>
      </w:r>
      <w:r w:rsidRPr="00571609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92A85" w:rsidRPr="00571609">
        <w:rPr>
          <w:color w:val="000000"/>
        </w:rPr>
        <w:t>п</w:t>
      </w:r>
      <w:r w:rsidRPr="00571609">
        <w:rPr>
          <w:color w:val="000000"/>
        </w:rPr>
        <w:t xml:space="preserve">оложением о </w:t>
      </w:r>
      <w:r w:rsidR="00BD338F" w:rsidRPr="00571609">
        <w:rPr>
          <w:rFonts w:eastAsia="Calibri"/>
          <w:bCs/>
          <w:color w:val="000000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2E0659" w:rsidRPr="00571609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области, </w:t>
      </w:r>
      <w:r w:rsidR="00BD338F" w:rsidRPr="00571609">
        <w:rPr>
          <w:rFonts w:eastAsia="Calibri"/>
          <w:bCs/>
          <w:color w:val="000000"/>
        </w:rPr>
        <w:t xml:space="preserve"> утвержденным решением совета депутатов</w:t>
      </w:r>
      <w:r w:rsidR="002E0659" w:rsidRPr="00571609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</w:t>
      </w:r>
      <w:r w:rsidR="00BD338F" w:rsidRPr="00571609">
        <w:rPr>
          <w:rFonts w:eastAsia="Calibri"/>
          <w:bCs/>
          <w:color w:val="000000"/>
        </w:rPr>
        <w:t xml:space="preserve"> Гатчинского муниципального района</w:t>
      </w:r>
      <w:r w:rsidR="002E0659" w:rsidRPr="00571609">
        <w:rPr>
          <w:rFonts w:eastAsia="Calibri"/>
          <w:bCs/>
          <w:color w:val="000000"/>
        </w:rPr>
        <w:t xml:space="preserve"> Ленинградской области </w:t>
      </w:r>
      <w:r w:rsidR="00BD338F" w:rsidRPr="00571609">
        <w:rPr>
          <w:rFonts w:eastAsia="Calibri"/>
          <w:bCs/>
          <w:color w:val="000000"/>
        </w:rPr>
        <w:t xml:space="preserve"> от </w:t>
      </w:r>
      <w:r w:rsidR="002E0659" w:rsidRPr="00571609">
        <w:rPr>
          <w:rFonts w:eastAsia="Calibri"/>
          <w:bCs/>
          <w:color w:val="000000"/>
        </w:rPr>
        <w:t>30</w:t>
      </w:r>
      <w:r w:rsidR="00BD338F" w:rsidRPr="00571609">
        <w:rPr>
          <w:rFonts w:eastAsia="Calibri"/>
          <w:bCs/>
          <w:color w:val="000000"/>
        </w:rPr>
        <w:t xml:space="preserve">.09.2021 № </w:t>
      </w:r>
      <w:r w:rsidR="002E0659" w:rsidRPr="00571609">
        <w:rPr>
          <w:rFonts w:eastAsia="Calibri"/>
          <w:bCs/>
          <w:color w:val="000000"/>
        </w:rPr>
        <w:t>126.</w:t>
      </w:r>
    </w:p>
    <w:p w:rsidR="00BD338F" w:rsidRPr="00571609" w:rsidRDefault="00BD338F" w:rsidP="00BD338F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</w:pPr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5716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 июня 2021 года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2E0659"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571609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 xml:space="preserve">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>далее – муниципальный контроль за исполнением единой теплоснабжающей организацией обязательств)</w:t>
      </w:r>
      <w:r w:rsidRPr="005716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по строительству, реконструкции и (или) модернизации объектов теплоснабжения на территории </w:t>
      </w:r>
      <w:r w:rsidR="002E0659"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Елизаветинское </w:t>
      </w:r>
      <w:r w:rsidR="002E0659" w:rsidRPr="005716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сельское поселение ,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развития,</w:t>
      </w:r>
      <w:r w:rsidRPr="00571609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 xml:space="preserve">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571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338F" w:rsidRPr="00571609" w:rsidRDefault="00BD338F" w:rsidP="00BD338F">
      <w:pPr>
        <w:ind w:firstLine="708"/>
        <w:jc w:val="both"/>
        <w:rPr>
          <w:color w:val="000000" w:themeColor="text1"/>
        </w:rPr>
      </w:pPr>
      <w:r w:rsidRPr="00571609">
        <w:rPr>
          <w:color w:val="000000" w:themeColor="text1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571609">
        <w:rPr>
          <w:color w:val="000000" w:themeColor="text1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71609">
        <w:rPr>
          <w:color w:val="000000" w:themeColor="text1"/>
        </w:rPr>
        <w:t>на системной основе не осуществлялся</w:t>
      </w:r>
      <w:r w:rsidR="00ED72BE" w:rsidRPr="00571609">
        <w:rPr>
          <w:color w:val="000000" w:themeColor="text1"/>
        </w:rPr>
        <w:t>.</w:t>
      </w:r>
    </w:p>
    <w:p w:rsidR="00ED72BE" w:rsidRPr="00571609" w:rsidRDefault="00ED72BE" w:rsidP="00ED72BE">
      <w:pPr>
        <w:shd w:val="clear" w:color="auto" w:fill="FFFFFF"/>
        <w:ind w:firstLine="709"/>
        <w:jc w:val="both"/>
        <w:rPr>
          <w:color w:val="000000" w:themeColor="text1"/>
        </w:rPr>
      </w:pPr>
      <w:r w:rsidRPr="00571609">
        <w:rPr>
          <w:color w:val="000000" w:themeColor="text1"/>
        </w:rPr>
        <w:t>К проблемам, на решение которых направлена Программа профилактики, относятся случаи:</w:t>
      </w:r>
    </w:p>
    <w:p w:rsidR="00ED72BE" w:rsidRPr="00571609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609">
        <w:rPr>
          <w:rFonts w:ascii="Times New Roman" w:hAnsi="Times New Roman" w:cs="Times New Roman"/>
          <w:color w:val="000000"/>
          <w:sz w:val="24"/>
          <w:szCs w:val="24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ED72BE" w:rsidRPr="00571609" w:rsidRDefault="00ED72BE" w:rsidP="00ED72B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571609">
        <w:rPr>
          <w:color w:val="000000"/>
          <w:lang w:eastAsia="zh-CN"/>
        </w:rPr>
        <w:t>2)</w:t>
      </w:r>
      <w:r w:rsidRPr="00571609">
        <w:rPr>
          <w:lang w:eastAsia="zh-CN"/>
        </w:rPr>
        <w:t xml:space="preserve"> нарушения </w:t>
      </w:r>
      <w:r w:rsidRPr="00571609">
        <w:rPr>
          <w:color w:val="000000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ED72BE" w:rsidRPr="00571609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</w:t>
      </w:r>
      <w:r w:rsidR="002E0659"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Елизаветинское сельское поселение ,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D72BE" w:rsidRPr="00571609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единой теплоснабжающей организации </w:t>
      </w:r>
      <w:bookmarkEnd w:id="3"/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4" w:name="_Hlk82526380"/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единой теплоснабжающей организации</w:t>
      </w:r>
      <w:bookmarkEnd w:id="4"/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характера.</w:t>
      </w:r>
    </w:p>
    <w:p w:rsidR="00ED72BE" w:rsidRPr="00571609" w:rsidRDefault="00ED72BE" w:rsidP="00ED72BE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  <w:r w:rsidRPr="00571609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5716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57160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D72BE" w:rsidRPr="00571609" w:rsidRDefault="00AF2EE7" w:rsidP="00ED72BE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571609">
        <w:rPr>
          <w:color w:val="000000"/>
        </w:rPr>
        <w:t>Подконтрольными субъектами при осуществлении муниципального контроля являются юридические лица, индивидуальные предприниматели,</w:t>
      </w:r>
      <w:r w:rsidR="00511C34" w:rsidRPr="00571609">
        <w:rPr>
          <w:color w:val="000000"/>
        </w:rPr>
        <w:t xml:space="preserve"> в</w:t>
      </w:r>
      <w:r w:rsidRPr="00571609">
        <w:rPr>
          <w:color w:val="000000"/>
        </w:rPr>
        <w:t xml:space="preserve"> </w:t>
      </w:r>
      <w:r w:rsidR="00511C34" w:rsidRPr="00571609">
        <w:t xml:space="preserve">деятельности  и действиях (бездействии) которых должны соблюдаться обязательные требования, установленные </w:t>
      </w:r>
      <w:r w:rsidR="00ED72BE" w:rsidRPr="00571609">
        <w:t>законодательством</w:t>
      </w:r>
      <w:r w:rsidR="00511C34" w:rsidRPr="00571609">
        <w:rPr>
          <w:bCs/>
        </w:rPr>
        <w:t xml:space="preserve"> </w:t>
      </w:r>
      <w:r w:rsidR="00ED72BE" w:rsidRPr="00571609">
        <w:t>в отношении системы (систем) теплоснабжения присвоен статус единой теплоснабжающей организации в схеме теплоснабжения</w:t>
      </w:r>
      <w:r w:rsidR="00571609" w:rsidRPr="00571609">
        <w:t xml:space="preserve"> муниципального образования </w:t>
      </w:r>
      <w:r w:rsidR="00571609" w:rsidRPr="00571609">
        <w:lastRenderedPageBreak/>
        <w:t xml:space="preserve">Елизаветинское сельское поселение, </w:t>
      </w:r>
      <w:r w:rsidR="00ED72BE" w:rsidRPr="00571609">
        <w:t xml:space="preserve"> </w:t>
      </w:r>
      <w:r w:rsidR="00ED72BE" w:rsidRPr="00571609">
        <w:rPr>
          <w:rStyle w:val="bumpedfont15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теплоснабжения.</w:t>
      </w:r>
    </w:p>
    <w:p w:rsidR="00511C34" w:rsidRPr="00571609" w:rsidRDefault="00511C34" w:rsidP="00AF2EE7">
      <w:pPr>
        <w:suppressAutoHyphens/>
        <w:ind w:firstLine="708"/>
        <w:jc w:val="both"/>
      </w:pPr>
      <w:r w:rsidRPr="00571609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По результатам ранее поступавших в администрацию </w:t>
      </w:r>
      <w:r w:rsidR="00571609" w:rsidRPr="00571609">
        <w:t xml:space="preserve"> Елизаветинского сельского поселения </w:t>
      </w:r>
      <w:r w:rsidRPr="00571609">
        <w:t xml:space="preserve">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:rsidR="00511C34" w:rsidRPr="00571609" w:rsidRDefault="00D50540" w:rsidP="00AF2EE7">
      <w:pPr>
        <w:suppressAutoHyphens/>
        <w:ind w:firstLine="708"/>
        <w:jc w:val="both"/>
      </w:pPr>
      <w:r w:rsidRPr="00571609"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AF2EE7" w:rsidRPr="00571609" w:rsidRDefault="00AF2EE7" w:rsidP="00AF2EE7">
      <w:pPr>
        <w:ind w:firstLine="709"/>
        <w:jc w:val="both"/>
      </w:pPr>
      <w:r w:rsidRPr="00571609">
        <w:t>Проведение профилакти</w:t>
      </w:r>
      <w:r w:rsidR="00ED72BE" w:rsidRPr="00571609">
        <w:t>ческих мероприятий, направлены</w:t>
      </w:r>
      <w:r w:rsidRPr="00571609">
        <w:t xml:space="preserve"> на соблюдение подконтрольными субъектами обязательных требований</w:t>
      </w:r>
      <w:r w:rsidR="00ED72BE" w:rsidRPr="00571609">
        <w:t xml:space="preserve"> законодательства в указанной сфере</w:t>
      </w:r>
      <w:r w:rsidRPr="00571609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571609" w:rsidRDefault="00AF2EE7" w:rsidP="00AF2EE7">
      <w:pPr>
        <w:ind w:firstLine="709"/>
        <w:jc w:val="both"/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lastRenderedPageBreak/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571609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lang w:eastAsia="ar-SA"/>
        </w:rPr>
      </w:pPr>
    </w:p>
    <w:p w:rsidR="00AF2EE7" w:rsidRPr="00571609" w:rsidRDefault="00AF2EE7" w:rsidP="00AF2EE7">
      <w:pPr>
        <w:ind w:firstLine="709"/>
        <w:jc w:val="both"/>
      </w:pPr>
      <w:r w:rsidRPr="00571609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571609" w:rsidRDefault="00AF2EE7" w:rsidP="00AF2EE7">
      <w:pPr>
        <w:ind w:firstLine="709"/>
        <w:jc w:val="both"/>
      </w:pPr>
      <w:r w:rsidRPr="00571609">
        <w:t xml:space="preserve">Перечень основных профилактических мероприятий Программы на 2022 год приведен в таблице №1. </w:t>
      </w:r>
    </w:p>
    <w:p w:rsidR="00AF2EE7" w:rsidRPr="00571609" w:rsidRDefault="00AF2EE7" w:rsidP="00AF2EE7">
      <w:pPr>
        <w:suppressAutoHyphens/>
        <w:jc w:val="center"/>
        <w:rPr>
          <w:color w:val="000000"/>
          <w:lang w:eastAsia="ar-SA"/>
        </w:rPr>
      </w:pPr>
    </w:p>
    <w:p w:rsidR="00AF2EE7" w:rsidRPr="00571609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</w:rPr>
      </w:pPr>
      <w:r w:rsidRPr="0057160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:rsidR="00AF2EE7" w:rsidRPr="00571609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571609" w:rsidTr="00B57F87">
        <w:tc>
          <w:tcPr>
            <w:tcW w:w="72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Профилактические мероприятия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Адресат мероприятия</w:t>
            </w:r>
          </w:p>
        </w:tc>
      </w:tr>
    </w:tbl>
    <w:p w:rsidR="00AF2EE7" w:rsidRPr="00571609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571609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4</w:t>
            </w:r>
          </w:p>
        </w:tc>
      </w:tr>
      <w:tr w:rsidR="00AF2EE7" w:rsidRPr="00571609" w:rsidTr="00B57F87">
        <w:tc>
          <w:tcPr>
            <w:tcW w:w="720" w:type="dxa"/>
            <w:vMerge w:val="restart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Размещение на официальном сайте </w:t>
            </w:r>
            <w:r w:rsidR="00571609" w:rsidRPr="00571609">
              <w:rPr>
                <w:color w:val="000000"/>
              </w:rPr>
              <w:t xml:space="preserve"> муниципального образования Елизаветинское сельское поселение </w:t>
            </w:r>
            <w:r w:rsidRPr="00571609">
              <w:rPr>
                <w:color w:val="000000"/>
              </w:rPr>
              <w:t>Га</w:t>
            </w:r>
            <w:r w:rsidR="003D178D" w:rsidRPr="00571609">
              <w:rPr>
                <w:color w:val="000000"/>
              </w:rPr>
              <w:t>тчинского муниципального района</w:t>
            </w:r>
            <w:r w:rsidR="00571609" w:rsidRPr="00571609">
              <w:rPr>
                <w:color w:val="000000"/>
              </w:rPr>
              <w:t xml:space="preserve"> Ленинградской области</w:t>
            </w:r>
            <w:proofErr w:type="gramStart"/>
            <w:r w:rsidR="00571609" w:rsidRPr="00571609">
              <w:rPr>
                <w:color w:val="000000"/>
              </w:rPr>
              <w:t xml:space="preserve"> </w:t>
            </w:r>
            <w:r w:rsidR="003D178D" w:rsidRPr="00571609">
              <w:rPr>
                <w:color w:val="000000"/>
              </w:rPr>
              <w:t>:</w:t>
            </w:r>
            <w:proofErr w:type="gramEnd"/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c>
          <w:tcPr>
            <w:tcW w:w="720" w:type="dxa"/>
            <w:vMerge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текст</w:t>
            </w:r>
            <w:r w:rsidR="003D178D" w:rsidRPr="00571609">
              <w:rPr>
                <w:color w:val="000000"/>
              </w:rPr>
              <w:t>ов</w:t>
            </w:r>
            <w:r w:rsidRPr="00571609">
              <w:rPr>
                <w:color w:val="000000"/>
              </w:rPr>
              <w:t xml:space="preserve"> нормативных правовых актов, регулирующих осуществление муниципального </w:t>
            </w:r>
            <w:proofErr w:type="gramStart"/>
            <w:r w:rsidRPr="00571609">
              <w:rPr>
                <w:color w:val="000000"/>
              </w:rPr>
              <w:t>контроля</w:t>
            </w:r>
            <w:r w:rsidR="00ED72BE" w:rsidRPr="00571609">
              <w:rPr>
                <w:color w:val="000000"/>
              </w:rPr>
              <w:t xml:space="preserve">  за</w:t>
            </w:r>
            <w:proofErr w:type="gramEnd"/>
            <w:r w:rsidR="00ED72BE" w:rsidRPr="00571609">
              <w:rPr>
                <w:color w:val="000000"/>
              </w:rPr>
              <w:t xml:space="preserve"> </w:t>
            </w:r>
            <w:r w:rsidR="00ED72BE" w:rsidRPr="00571609">
              <w:rPr>
                <w:rFonts w:eastAsia="Calibri"/>
                <w:bCs/>
                <w:color w:val="000000"/>
              </w:rPr>
              <w:t xml:space="preserve">исполнением единой теплоснабжающей организацией обязательств по строительству, реконструкции и (или) </w:t>
            </w:r>
            <w:r w:rsidR="00ED72BE" w:rsidRPr="00571609">
              <w:rPr>
                <w:rFonts w:eastAsia="Calibri"/>
                <w:bCs/>
                <w:color w:val="000000"/>
              </w:rPr>
              <w:lastRenderedPageBreak/>
              <w:t>модернизации объектов теплоснабжения на территории Гатчинского муниципального района (далее – муниципальный контр</w:t>
            </w:r>
            <w:r w:rsidR="00571609" w:rsidRPr="00571609">
              <w:rPr>
                <w:rFonts w:eastAsia="Calibri"/>
                <w:bCs/>
                <w:color w:val="000000"/>
              </w:rPr>
              <w:t>о</w:t>
            </w:r>
            <w:r w:rsidR="00ED72BE" w:rsidRPr="00571609">
              <w:rPr>
                <w:rFonts w:eastAsia="Calibri"/>
                <w:bCs/>
                <w:color w:val="000000"/>
              </w:rPr>
              <w:t>ль)</w:t>
            </w:r>
            <w:r w:rsidRPr="00571609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lastRenderedPageBreak/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571609" w:rsidTr="00B57F87"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сведени</w:t>
            </w:r>
            <w:r w:rsidR="003D178D" w:rsidRPr="00571609">
              <w:rPr>
                <w:color w:val="000000"/>
              </w:rPr>
              <w:t>й</w:t>
            </w:r>
            <w:r w:rsidRPr="00571609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t>по мере необходимости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DB2B5B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8" w:history="1">
              <w:r w:rsidR="00AF2EE7" w:rsidRPr="00571609">
                <w:rPr>
                  <w:color w:val="000000"/>
                </w:rPr>
                <w:t>перечень</w:t>
              </w:r>
            </w:hyperlink>
            <w:r w:rsidR="00AF2EE7" w:rsidRPr="00571609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327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116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216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течение 2022 г</w:t>
            </w:r>
            <w:r w:rsidR="003D178D" w:rsidRPr="00571609">
              <w:t>ода</w:t>
            </w:r>
            <w:r w:rsidRPr="00571609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389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с</w:t>
            </w:r>
            <w:r w:rsidR="00AF2EE7" w:rsidRPr="00571609">
              <w:rPr>
                <w:color w:val="000000"/>
              </w:rPr>
              <w:t>ведени</w:t>
            </w:r>
            <w:r w:rsidRPr="00571609">
              <w:rPr>
                <w:color w:val="000000"/>
              </w:rPr>
              <w:t xml:space="preserve">й </w:t>
            </w:r>
            <w:r w:rsidR="00AF2EE7" w:rsidRPr="00571609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течение 2022 г</w:t>
            </w:r>
            <w:r w:rsidR="003D178D" w:rsidRPr="00571609">
              <w:t>ода</w:t>
            </w:r>
            <w:r w:rsidRPr="00571609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216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сведени</w:t>
            </w:r>
            <w:r w:rsidR="003D178D" w:rsidRPr="00571609">
              <w:rPr>
                <w:color w:val="000000"/>
              </w:rPr>
              <w:t>й</w:t>
            </w:r>
            <w:r w:rsidRPr="00571609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128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доклад</w:t>
            </w:r>
            <w:r w:rsidR="003D178D" w:rsidRPr="00571609">
              <w:rPr>
                <w:color w:val="000000"/>
              </w:rPr>
              <w:t>ов</w:t>
            </w:r>
            <w:r w:rsidRPr="00571609">
              <w:rPr>
                <w:color w:val="000000"/>
              </w:rPr>
              <w:t>, содержащи</w:t>
            </w:r>
            <w:r w:rsidR="003D178D" w:rsidRPr="00571609">
              <w:rPr>
                <w:color w:val="000000"/>
              </w:rPr>
              <w:t>х</w:t>
            </w:r>
            <w:r w:rsidRPr="00571609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 xml:space="preserve">в срок до 3 дней со дня утверждения доклада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114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ежегодн</w:t>
            </w:r>
            <w:r w:rsidR="003D178D" w:rsidRPr="00571609">
              <w:rPr>
                <w:color w:val="000000"/>
              </w:rPr>
              <w:t>ого</w:t>
            </w:r>
            <w:r w:rsidRPr="00571609">
              <w:rPr>
                <w:color w:val="000000"/>
              </w:rPr>
              <w:t xml:space="preserve"> доклад</w:t>
            </w:r>
            <w:r w:rsidR="003D178D" w:rsidRPr="00571609">
              <w:rPr>
                <w:color w:val="000000"/>
              </w:rPr>
              <w:t>а</w:t>
            </w:r>
            <w:r w:rsidRPr="00571609">
              <w:rPr>
                <w:color w:val="000000"/>
              </w:rPr>
              <w:t xml:space="preserve"> о муниципальном контроле;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880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письменны</w:t>
            </w:r>
            <w:r w:rsidR="003D178D" w:rsidRPr="00571609">
              <w:rPr>
                <w:color w:val="000000"/>
              </w:rPr>
              <w:t>х</w:t>
            </w:r>
            <w:r w:rsidRPr="00571609">
              <w:rPr>
                <w:color w:val="000000"/>
              </w:rPr>
              <w:t xml:space="preserve"> разъяснени</w:t>
            </w:r>
            <w:r w:rsidR="003D178D" w:rsidRPr="00571609">
              <w:rPr>
                <w:color w:val="000000"/>
              </w:rPr>
              <w:t>й</w:t>
            </w:r>
            <w:r w:rsidRPr="00571609">
              <w:rPr>
                <w:color w:val="000000"/>
              </w:rPr>
              <w:t>, подписанны</w:t>
            </w:r>
            <w:r w:rsidR="003D178D" w:rsidRPr="00571609">
              <w:rPr>
                <w:color w:val="000000"/>
              </w:rPr>
              <w:t>х</w:t>
            </w:r>
            <w:r w:rsidRPr="00571609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440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 xml:space="preserve">не позднее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 xml:space="preserve">1 октября 2022 г.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(проект Программы для общественного обсуждения);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153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63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публикаций на официальном сайте </w:t>
            </w:r>
            <w:r w:rsidR="00571609" w:rsidRPr="00571609">
              <w:rPr>
                <w:color w:val="000000"/>
              </w:rPr>
              <w:t xml:space="preserve"> 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216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076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</w:t>
            </w:r>
            <w:r w:rsidRPr="00571609">
              <w:rPr>
                <w:color w:val="000000"/>
              </w:rPr>
              <w:lastRenderedPageBreak/>
              <w:t>власти, органы местного самоуправления</w:t>
            </w:r>
          </w:p>
        </w:tc>
      </w:tr>
      <w:tr w:rsidR="00AF2EE7" w:rsidRPr="00571609" w:rsidTr="00B57F87">
        <w:trPr>
          <w:trHeight w:val="3305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lastRenderedPageBreak/>
              <w:t>5.</w:t>
            </w: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88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не реже чем 2 раза в год (</w:t>
            </w:r>
            <w:r w:rsidRPr="00571609">
              <w:rPr>
                <w:color w:val="000000"/>
                <w:lang w:val="en-US"/>
              </w:rPr>
              <w:t>I</w:t>
            </w:r>
            <w:r w:rsidRPr="00571609">
              <w:rPr>
                <w:color w:val="000000"/>
              </w:rPr>
              <w:t xml:space="preserve"> и </w:t>
            </w:r>
            <w:r w:rsidRPr="00571609">
              <w:rPr>
                <w:color w:val="000000"/>
                <w:lang w:val="en-US"/>
              </w:rPr>
              <w:t>IV</w:t>
            </w:r>
            <w:r w:rsidRPr="00571609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88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ED72BE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Разработка и утверждение Программы (Плана) профилактики рисков </w:t>
            </w:r>
            <w:r w:rsidR="00ED72BE" w:rsidRPr="0057160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причинения вреда (ущерба) охраняемым законом ценностям </w:t>
            </w:r>
            <w:r w:rsidR="00ED72BE" w:rsidRPr="00571609">
              <w:rPr>
                <w:bCs/>
                <w:color w:val="000000" w:themeColor="text1"/>
                <w:shd w:val="clear" w:color="auto" w:fill="FFFFFF"/>
              </w:rPr>
              <w:t>в сфере</w:t>
            </w:r>
            <w:r w:rsidR="00ED72BE" w:rsidRPr="00571609">
              <w:rPr>
                <w:bCs/>
                <w:color w:val="000000" w:themeColor="text1"/>
              </w:rPr>
      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      </w:r>
            <w:r w:rsidR="00571609" w:rsidRPr="00571609">
              <w:rPr>
                <w:color w:val="000000"/>
              </w:rPr>
              <w:t xml:space="preserve">  муниципального образования Елизаветинское сельское поселение Гатчинского муниципального района Ленинградской области </w:t>
            </w:r>
            <w:r w:rsidR="00ED72BE" w:rsidRPr="00571609">
              <w:rPr>
                <w:bCs/>
                <w:color w:val="000000" w:themeColor="text1"/>
              </w:rPr>
              <w:t>на 2023 год</w:t>
            </w:r>
          </w:p>
          <w:p w:rsidR="00ED72BE" w:rsidRPr="00571609" w:rsidRDefault="00ED72BE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 xml:space="preserve">не позднее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1 октября 2022 г. (разработка);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 xml:space="preserve">не позднее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20 декабря 2022 г.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(утверждение)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571609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571609" w:rsidRDefault="00AF2EE7" w:rsidP="00AF2EE7">
      <w:pPr>
        <w:ind w:firstLine="709"/>
        <w:jc w:val="both"/>
      </w:pPr>
      <w:r w:rsidRPr="00571609">
        <w:t>Финансирование исполнения функции по осуществлению муниципального контроля</w:t>
      </w:r>
      <w:r w:rsidR="003D178D" w:rsidRPr="00571609">
        <w:t xml:space="preserve"> на территории</w:t>
      </w:r>
      <w:r w:rsidR="00571609" w:rsidRPr="00571609"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3D178D" w:rsidRPr="00571609">
        <w:t xml:space="preserve"> </w:t>
      </w:r>
      <w:r w:rsidRPr="00571609">
        <w:t xml:space="preserve"> осуществляется в рамках </w:t>
      </w:r>
      <w:r w:rsidRPr="00571609">
        <w:lastRenderedPageBreak/>
        <w:t xml:space="preserve">бюджетных средств </w:t>
      </w:r>
      <w:r w:rsidR="00571609" w:rsidRPr="00571609">
        <w:t xml:space="preserve"> муниципального образования Елизаветинское сельское поселение Гатчинского муниципального района Ленинградской области. </w:t>
      </w:r>
    </w:p>
    <w:p w:rsidR="00AF2EE7" w:rsidRPr="00571609" w:rsidRDefault="00AF2EE7" w:rsidP="00AF2EE7">
      <w:pPr>
        <w:ind w:firstLine="709"/>
        <w:jc w:val="both"/>
      </w:pPr>
      <w:r w:rsidRPr="0057160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571609" w:rsidRDefault="00AF2EE7" w:rsidP="00AF2EE7">
      <w:pPr>
        <w:ind w:firstLine="709"/>
        <w:jc w:val="both"/>
      </w:pPr>
      <w:r w:rsidRPr="00571609">
        <w:t xml:space="preserve">Текущее управление и контроль за ходом реализации Программы осуществляет </w:t>
      </w:r>
      <w:r w:rsidR="003D178D" w:rsidRPr="00571609">
        <w:t>а</w:t>
      </w:r>
      <w:r w:rsidRPr="00571609">
        <w:t>дминистр</w:t>
      </w:r>
      <w:r w:rsidR="00571609" w:rsidRPr="00571609">
        <w:t xml:space="preserve">ация муниципального образования Елизаветинского сельского поселения. </w:t>
      </w:r>
    </w:p>
    <w:p w:rsidR="00AF2EE7" w:rsidRPr="00571609" w:rsidRDefault="00AF2EE7" w:rsidP="00AF2EE7">
      <w:pPr>
        <w:ind w:firstLine="709"/>
        <w:jc w:val="both"/>
      </w:pPr>
      <w:r w:rsidRPr="00571609">
        <w:t>Мониторинг реализации Программы осуществляется на регулярной основе.</w:t>
      </w:r>
    </w:p>
    <w:p w:rsidR="00AF2EE7" w:rsidRPr="00571609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571609"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571609" w:rsidRPr="00571609">
        <w:t xml:space="preserve"> муниципального образования Елизаветинское сельское поселение</w:t>
      </w:r>
      <w:r w:rsidRPr="00571609">
        <w:t xml:space="preserve"> в информационно-коммуникационной сети «Интернет».</w:t>
      </w:r>
      <w:r w:rsidRPr="00571609">
        <w:rPr>
          <w:rFonts w:ascii="Calibri" w:hAnsi="Calibri" w:cs="Calibri"/>
          <w:color w:val="000000"/>
        </w:rPr>
        <w:t xml:space="preserve"> </w:t>
      </w:r>
    </w:p>
    <w:p w:rsidR="00AF2EE7" w:rsidRPr="00571609" w:rsidRDefault="00AF2EE7" w:rsidP="00AF2EE7">
      <w:pPr>
        <w:ind w:firstLine="709"/>
        <w:jc w:val="both"/>
      </w:pPr>
      <w:r w:rsidRPr="00571609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571609" w:rsidRDefault="00AF2EE7" w:rsidP="00AF2EE7">
      <w:pPr>
        <w:ind w:firstLine="709"/>
        <w:jc w:val="both"/>
      </w:pPr>
      <w:r w:rsidRPr="00571609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571609" w:rsidRDefault="00AF2EE7" w:rsidP="00AF2EE7">
      <w:pPr>
        <w:ind w:firstLine="709"/>
        <w:jc w:val="both"/>
      </w:pPr>
      <w:r w:rsidRPr="00571609">
        <w:t>Целевые показатели результативности мероприятий Программы по муниципальному контролю:</w:t>
      </w:r>
    </w:p>
    <w:p w:rsidR="00AF2EE7" w:rsidRPr="00571609" w:rsidRDefault="00AF2EE7" w:rsidP="00AF2EE7">
      <w:pPr>
        <w:ind w:firstLine="709"/>
        <w:jc w:val="both"/>
      </w:pPr>
      <w:r w:rsidRPr="00571609">
        <w:t>1) Количество выявленных нарушений требований законодательства</w:t>
      </w:r>
      <w:r w:rsidR="00B71724" w:rsidRPr="00571609">
        <w:t xml:space="preserve"> в указанной сфере</w:t>
      </w:r>
      <w:r w:rsidRPr="00571609">
        <w:t>, шт.</w:t>
      </w:r>
    </w:p>
    <w:p w:rsidR="00AF2EE7" w:rsidRPr="00571609" w:rsidRDefault="00AF2EE7" w:rsidP="00AF2EE7">
      <w:pPr>
        <w:ind w:firstLine="709"/>
        <w:jc w:val="both"/>
      </w:pPr>
      <w:r w:rsidRPr="00571609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B71724" w:rsidRPr="00571609">
        <w:t xml:space="preserve"> в указанной сфере</w:t>
      </w:r>
      <w:r w:rsidRPr="00571609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571609" w:rsidRDefault="00AF2EE7" w:rsidP="00AF2EE7">
      <w:pPr>
        <w:ind w:firstLine="709"/>
        <w:jc w:val="both"/>
      </w:pPr>
      <w:r w:rsidRPr="00571609">
        <w:t>Показатели эффективности:</w:t>
      </w:r>
    </w:p>
    <w:p w:rsidR="00AF2EE7" w:rsidRPr="00571609" w:rsidRDefault="00AF2EE7" w:rsidP="00AF2EE7">
      <w:pPr>
        <w:ind w:firstLine="709"/>
        <w:jc w:val="both"/>
      </w:pPr>
      <w:r w:rsidRPr="00571609"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B71724" w:rsidRPr="00571609">
        <w:t xml:space="preserve"> в указанной сфере</w:t>
      </w:r>
      <w:r w:rsidRPr="00571609">
        <w:t>.</w:t>
      </w:r>
    </w:p>
    <w:p w:rsidR="00AF2EE7" w:rsidRPr="00571609" w:rsidRDefault="00AF2EE7" w:rsidP="00AF2EE7">
      <w:pPr>
        <w:ind w:firstLine="709"/>
        <w:jc w:val="both"/>
      </w:pPr>
      <w:r w:rsidRPr="00571609">
        <w:t>2) Количество проведенных профилактических мероприятий контрольным (надзорным) органом, ед.</w:t>
      </w:r>
    </w:p>
    <w:p w:rsidR="00AF2EE7" w:rsidRPr="00571609" w:rsidRDefault="00AF2EE7" w:rsidP="00AF2EE7">
      <w:pPr>
        <w:ind w:firstLine="709"/>
        <w:jc w:val="both"/>
      </w:pPr>
      <w:r w:rsidRPr="00571609">
        <w:t>3) Доля профилактических мероприятий в объеме контрольно-надзорных мероприятий, %.</w:t>
      </w:r>
    </w:p>
    <w:p w:rsidR="00AF2EE7" w:rsidRPr="00571609" w:rsidRDefault="00AF2EE7" w:rsidP="00AF2EE7">
      <w:pPr>
        <w:ind w:firstLine="709"/>
        <w:jc w:val="both"/>
      </w:pPr>
      <w:r w:rsidRPr="00571609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571609" w:rsidRDefault="00AF2EE7" w:rsidP="00AF2EE7">
      <w:pPr>
        <w:ind w:firstLine="709"/>
        <w:jc w:val="both"/>
      </w:pPr>
      <w:r w:rsidRPr="00571609">
        <w:t>Отчетным периодом для определения значений показателей является календарный год.</w:t>
      </w:r>
    </w:p>
    <w:p w:rsidR="00AF2EE7" w:rsidRPr="00571609" w:rsidRDefault="00AF2EE7" w:rsidP="00AF2EE7">
      <w:pPr>
        <w:ind w:firstLine="709"/>
        <w:jc w:val="both"/>
      </w:pPr>
      <w:r w:rsidRPr="0057160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AF2EE7" w:rsidRPr="00571609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571609">
        <w:rPr>
          <w:color w:val="000000"/>
        </w:rPr>
        <w:t>Таблица</w:t>
      </w:r>
      <w:r w:rsidRPr="00571609">
        <w:rPr>
          <w:color w:val="000000"/>
          <w:lang w:val="en-US"/>
        </w:rPr>
        <w:t xml:space="preserve"> </w:t>
      </w:r>
      <w:r w:rsidRPr="00571609">
        <w:rPr>
          <w:color w:val="000000"/>
        </w:rPr>
        <w:t>№</w:t>
      </w:r>
      <w:r w:rsidRPr="00571609">
        <w:rPr>
          <w:color w:val="000000"/>
          <w:lang w:val="en-US"/>
        </w:rPr>
        <w:t xml:space="preserve"> </w:t>
      </w:r>
      <w:r w:rsidRPr="00571609">
        <w:rPr>
          <w:color w:val="000000"/>
        </w:rPr>
        <w:t>2</w:t>
      </w:r>
    </w:p>
    <w:p w:rsidR="00AF2EE7" w:rsidRPr="00571609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571609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571609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proofErr w:type="gram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Пла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-новое</w:t>
            </w:r>
            <w:proofErr w:type="gram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Фак-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тическ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ое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значе</w:t>
            </w: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Отк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ло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-не-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ние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 xml:space="preserve">, </w:t>
            </w: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Иные</w:t>
            </w:r>
          </w:p>
        </w:tc>
      </w:tr>
      <w:tr w:rsidR="00AF2EE7" w:rsidRPr="00571609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571609">
              <w:rPr>
                <w:color w:val="000000"/>
              </w:rPr>
              <w:t>Программа (План)</w:t>
            </w:r>
          </w:p>
          <w:p w:rsidR="00B71724" w:rsidRPr="0057160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571609">
              <w:rPr>
                <w:color w:val="000000"/>
              </w:rPr>
              <w:t>«</w:t>
            </w:r>
            <w:r w:rsidR="00B71724" w:rsidRPr="0057160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B71724" w:rsidRPr="00571609">
              <w:rPr>
                <w:bCs/>
                <w:color w:val="000000" w:themeColor="text1"/>
                <w:shd w:val="clear" w:color="auto" w:fill="FFFFFF"/>
              </w:rPr>
              <w:t>в сфере</w:t>
            </w:r>
            <w:r w:rsidR="00B71724" w:rsidRPr="00571609">
              <w:rPr>
                <w:bCs/>
                <w:color w:val="000000" w:themeColor="text1"/>
              </w:rPr>
      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571609" w:rsidRPr="00571609">
              <w:rPr>
                <w:bCs/>
                <w:color w:val="000000" w:themeColor="text1"/>
              </w:rPr>
              <w:t xml:space="preserve"> муниципального образования Елизаветинское сельское поселение </w:t>
            </w:r>
            <w:r w:rsidR="00B71724" w:rsidRPr="00571609">
              <w:rPr>
                <w:bCs/>
                <w:color w:val="000000" w:themeColor="text1"/>
              </w:rPr>
              <w:t>Гатчинского муниципального района</w:t>
            </w:r>
            <w:r w:rsidR="00571609" w:rsidRPr="00571609">
              <w:rPr>
                <w:bCs/>
                <w:color w:val="000000" w:themeColor="text1"/>
              </w:rPr>
              <w:t xml:space="preserve"> Ленинградской области </w:t>
            </w:r>
            <w:r w:rsidR="00B71724" w:rsidRPr="00571609">
              <w:rPr>
                <w:bCs/>
                <w:color w:val="000000" w:themeColor="text1"/>
              </w:rPr>
              <w:t xml:space="preserve"> на 2022 год»</w:t>
            </w:r>
          </w:p>
          <w:p w:rsidR="00AF2EE7" w:rsidRPr="00571609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571609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AF2EE7" w:rsidRPr="00571609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%</w:t>
            </w: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</w:tr>
    </w:tbl>
    <w:p w:rsidR="00AF2EE7" w:rsidRPr="00571609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571609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AF2EE7" w:rsidRPr="00571609" w:rsidRDefault="00AF2EE7" w:rsidP="00AF2EE7">
      <w:pPr>
        <w:rPr>
          <w:color w:val="000000"/>
        </w:rPr>
      </w:pPr>
    </w:p>
    <w:p w:rsidR="00BD0978" w:rsidRPr="00571609" w:rsidRDefault="00BD0978" w:rsidP="00153A5E">
      <w:pPr>
        <w:jc w:val="both"/>
      </w:pPr>
    </w:p>
    <w:sectPr w:rsidR="00BD0978" w:rsidRPr="00571609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4"/>
    <w:rsid w:val="00052FC4"/>
    <w:rsid w:val="00086916"/>
    <w:rsid w:val="000E041D"/>
    <w:rsid w:val="0010025A"/>
    <w:rsid w:val="00153A5E"/>
    <w:rsid w:val="001F0283"/>
    <w:rsid w:val="00283D0C"/>
    <w:rsid w:val="002A46D0"/>
    <w:rsid w:val="002E0659"/>
    <w:rsid w:val="002F601E"/>
    <w:rsid w:val="003226D7"/>
    <w:rsid w:val="0037661E"/>
    <w:rsid w:val="003828F7"/>
    <w:rsid w:val="003D178D"/>
    <w:rsid w:val="00404613"/>
    <w:rsid w:val="00413D3D"/>
    <w:rsid w:val="00481EF9"/>
    <w:rsid w:val="00511C34"/>
    <w:rsid w:val="00571609"/>
    <w:rsid w:val="00590F0F"/>
    <w:rsid w:val="005B480A"/>
    <w:rsid w:val="00615784"/>
    <w:rsid w:val="00674CAF"/>
    <w:rsid w:val="007A5CB9"/>
    <w:rsid w:val="008044B5"/>
    <w:rsid w:val="008F1029"/>
    <w:rsid w:val="009668AC"/>
    <w:rsid w:val="00992A85"/>
    <w:rsid w:val="00997DD1"/>
    <w:rsid w:val="00A743A5"/>
    <w:rsid w:val="00AF2EE7"/>
    <w:rsid w:val="00B71724"/>
    <w:rsid w:val="00B9056A"/>
    <w:rsid w:val="00BA2393"/>
    <w:rsid w:val="00BB207D"/>
    <w:rsid w:val="00BD0978"/>
    <w:rsid w:val="00BD338F"/>
    <w:rsid w:val="00BF2D3E"/>
    <w:rsid w:val="00C83E19"/>
    <w:rsid w:val="00D50540"/>
    <w:rsid w:val="00DB2B5B"/>
    <w:rsid w:val="00E44AD9"/>
    <w:rsid w:val="00E84568"/>
    <w:rsid w:val="00ED5C31"/>
    <w:rsid w:val="00ED72BE"/>
    <w:rsid w:val="00EF1294"/>
    <w:rsid w:val="00F53927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ConsPlusNormal">
    <w:name w:val="ConsPlusNormal"/>
    <w:uiPriority w:val="99"/>
    <w:rsid w:val="00BD33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5">
    <w:name w:val="s15"/>
    <w:basedOn w:val="a"/>
    <w:rsid w:val="00ED72BE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ED72BE"/>
  </w:style>
  <w:style w:type="paragraph" w:customStyle="1" w:styleId="1">
    <w:name w:val="Без интервала1"/>
    <w:rsid w:val="0008691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ConsPlusNormal">
    <w:name w:val="ConsPlusNormal"/>
    <w:uiPriority w:val="99"/>
    <w:rsid w:val="00BD33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5">
    <w:name w:val="s15"/>
    <w:basedOn w:val="a"/>
    <w:rsid w:val="00ED72BE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ED72BE"/>
  </w:style>
  <w:style w:type="paragraph" w:customStyle="1" w:styleId="1">
    <w:name w:val="Без интервала1"/>
    <w:rsid w:val="0008691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Тимофеева Елена Павловна</cp:lastModifiedBy>
  <cp:revision>2</cp:revision>
  <cp:lastPrinted>2021-11-16T11:10:00Z</cp:lastPrinted>
  <dcterms:created xsi:type="dcterms:W3CDTF">2021-11-16T11:10:00Z</dcterms:created>
  <dcterms:modified xsi:type="dcterms:W3CDTF">2021-11-16T11:10:00Z</dcterms:modified>
</cp:coreProperties>
</file>